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drawings/drawing3.xml" ContentType="application/vnd.openxmlformats-officedocument.drawingml.chartshapes+xml"/>
  <Override PartName="/word/drawings/drawing4.xml" ContentType="application/vnd.openxmlformats-officedocument.drawingml.chartshapes+xml"/>
  <Override PartName="/word/charts/chart8.xml" ContentType="application/vnd.openxmlformats-officedocument.drawingml.chart+xml"/>
  <Override PartName="/word/drawings/drawing5.xml" ContentType="application/vnd.openxmlformats-officedocument.drawingml.chartshap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drawings/drawing2.xml" ContentType="application/vnd.openxmlformats-officedocument.drawingml.chartshapes+xml"/>
  <Override PartName="/word/charts/chart6.xml" ContentType="application/vnd.openxmlformats-officedocument.drawingml.chart+xml"/>
  <Override PartName="/word/charts/chart7.xml" ContentType="application/vnd.openxmlformats-officedocument.drawingml.chart+xml"/>
  <Override PartName="/word/footer2.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4DE" w:rsidRDefault="00DE1EC4" w:rsidP="0031236B">
      <w:pPr>
        <w:keepNext/>
        <w:spacing w:after="240"/>
        <w:jc w:val="both"/>
        <w:rPr>
          <w:rFonts w:ascii="Times New Roman" w:hAnsi="Times New Roman" w:cs="Times New Roman"/>
          <w:b/>
          <w:sz w:val="28"/>
          <w:szCs w:val="28"/>
        </w:rPr>
      </w:pPr>
      <w:r>
        <w:rPr>
          <w:rFonts w:ascii="Times New Roman" w:hAnsi="Times New Roman" w:cs="Times New Roman"/>
          <w:b/>
          <w:sz w:val="28"/>
          <w:szCs w:val="28"/>
        </w:rPr>
        <w:t xml:space="preserve">6. </w:t>
      </w:r>
      <w:r w:rsidR="00CD14DE">
        <w:rPr>
          <w:rFonts w:ascii="Times New Roman" w:hAnsi="Times New Roman" w:cs="Times New Roman"/>
          <w:b/>
          <w:sz w:val="28"/>
          <w:szCs w:val="28"/>
        </w:rPr>
        <w:t>DOJ</w:t>
      </w:r>
      <w:r w:rsidR="007A3056">
        <w:rPr>
          <w:rFonts w:ascii="Times New Roman" w:hAnsi="Times New Roman" w:cs="Times New Roman"/>
          <w:b/>
          <w:sz w:val="28"/>
          <w:szCs w:val="28"/>
        </w:rPr>
        <w:t>EŻDŻAJĄCY</w:t>
      </w:r>
      <w:r w:rsidR="00CD14DE">
        <w:rPr>
          <w:rFonts w:ascii="Times New Roman" w:hAnsi="Times New Roman" w:cs="Times New Roman"/>
          <w:b/>
          <w:sz w:val="28"/>
          <w:szCs w:val="28"/>
        </w:rPr>
        <w:t xml:space="preserve"> DO PRACY</w:t>
      </w:r>
    </w:p>
    <w:p w:rsidR="00DC68DD" w:rsidRDefault="008F64DC" w:rsidP="00541932">
      <w:pPr>
        <w:pStyle w:val="tekstgl"/>
        <w:spacing w:after="0" w:line="360" w:lineRule="auto"/>
        <w:ind w:firstLine="709"/>
        <w:rPr>
          <w:rFonts w:ascii="Times New Roman" w:hAnsi="Times New Roman" w:cs="Times New Roman"/>
          <w:sz w:val="24"/>
          <w:szCs w:val="24"/>
        </w:rPr>
      </w:pPr>
      <w:r w:rsidRPr="00541932">
        <w:rPr>
          <w:rFonts w:ascii="Times New Roman" w:hAnsi="Times New Roman" w:cs="Times New Roman"/>
          <w:sz w:val="24"/>
          <w:szCs w:val="24"/>
        </w:rPr>
        <w:t>Niniejszy rozdział</w:t>
      </w:r>
      <w:r w:rsidR="0001001C" w:rsidRPr="00541932">
        <w:rPr>
          <w:rFonts w:ascii="Times New Roman" w:hAnsi="Times New Roman" w:cs="Times New Roman"/>
          <w:sz w:val="24"/>
          <w:szCs w:val="24"/>
        </w:rPr>
        <w:t xml:space="preserve"> </w:t>
      </w:r>
      <w:r w:rsidR="007A3056">
        <w:rPr>
          <w:rFonts w:ascii="Times New Roman" w:hAnsi="Times New Roman" w:cs="Times New Roman"/>
          <w:sz w:val="24"/>
          <w:szCs w:val="24"/>
        </w:rPr>
        <w:t>poświęcony jest</w:t>
      </w:r>
      <w:r w:rsidR="004E6407" w:rsidRPr="00541932">
        <w:rPr>
          <w:rFonts w:ascii="Times New Roman" w:hAnsi="Times New Roman" w:cs="Times New Roman"/>
          <w:sz w:val="24"/>
          <w:szCs w:val="24"/>
        </w:rPr>
        <w:t xml:space="preserve"> </w:t>
      </w:r>
      <w:r w:rsidR="0001001C" w:rsidRPr="00541932">
        <w:rPr>
          <w:rFonts w:ascii="Times New Roman" w:hAnsi="Times New Roman" w:cs="Times New Roman"/>
          <w:sz w:val="24"/>
          <w:szCs w:val="24"/>
        </w:rPr>
        <w:t>charakterysty</w:t>
      </w:r>
      <w:r w:rsidR="007A3056">
        <w:rPr>
          <w:rFonts w:ascii="Times New Roman" w:hAnsi="Times New Roman" w:cs="Times New Roman"/>
          <w:sz w:val="24"/>
          <w:szCs w:val="24"/>
        </w:rPr>
        <w:t>ce</w:t>
      </w:r>
      <w:r w:rsidR="0001001C" w:rsidRPr="00541932">
        <w:rPr>
          <w:rFonts w:ascii="Times New Roman" w:hAnsi="Times New Roman" w:cs="Times New Roman"/>
          <w:sz w:val="24"/>
          <w:szCs w:val="24"/>
        </w:rPr>
        <w:t xml:space="preserve"> </w:t>
      </w:r>
      <w:r w:rsidR="00D10B4F" w:rsidRPr="00541932">
        <w:rPr>
          <w:rFonts w:ascii="Times New Roman" w:hAnsi="Times New Roman" w:cs="Times New Roman"/>
          <w:sz w:val="24"/>
          <w:szCs w:val="24"/>
        </w:rPr>
        <w:t xml:space="preserve">osób </w:t>
      </w:r>
      <w:r w:rsidR="0001001C" w:rsidRPr="00541932">
        <w:rPr>
          <w:rFonts w:ascii="Times New Roman" w:hAnsi="Times New Roman" w:cs="Times New Roman"/>
          <w:sz w:val="24"/>
          <w:szCs w:val="24"/>
        </w:rPr>
        <w:t>dojeżdżających do pracy</w:t>
      </w:r>
      <w:r w:rsidR="00D10B4F" w:rsidRPr="00541932">
        <w:rPr>
          <w:rFonts w:ascii="Times New Roman" w:hAnsi="Times New Roman" w:cs="Times New Roman"/>
          <w:sz w:val="24"/>
          <w:szCs w:val="24"/>
        </w:rPr>
        <w:t xml:space="preserve">. Analizy </w:t>
      </w:r>
      <w:r w:rsidR="0001001C" w:rsidRPr="00541932">
        <w:rPr>
          <w:rFonts w:ascii="Times New Roman" w:hAnsi="Times New Roman" w:cs="Times New Roman"/>
          <w:sz w:val="24"/>
          <w:szCs w:val="24"/>
        </w:rPr>
        <w:t xml:space="preserve"> dokonan</w:t>
      </w:r>
      <w:r w:rsidR="00D10B4F" w:rsidRPr="00541932">
        <w:rPr>
          <w:rFonts w:ascii="Times New Roman" w:hAnsi="Times New Roman" w:cs="Times New Roman"/>
          <w:sz w:val="24"/>
          <w:szCs w:val="24"/>
        </w:rPr>
        <w:t>o</w:t>
      </w:r>
      <w:r w:rsidR="0001001C" w:rsidRPr="00541932">
        <w:rPr>
          <w:rFonts w:ascii="Times New Roman" w:hAnsi="Times New Roman" w:cs="Times New Roman"/>
          <w:sz w:val="24"/>
          <w:szCs w:val="24"/>
        </w:rPr>
        <w:t xml:space="preserve"> w oparciu o d</w:t>
      </w:r>
      <w:r w:rsidR="00113688" w:rsidRPr="00541932">
        <w:rPr>
          <w:rFonts w:ascii="Times New Roman" w:hAnsi="Times New Roman" w:cs="Times New Roman"/>
          <w:sz w:val="24"/>
          <w:szCs w:val="24"/>
        </w:rPr>
        <w:t>ane z badania reprezentacyjnego</w:t>
      </w:r>
      <w:r w:rsidR="0079519B" w:rsidRPr="00541932">
        <w:rPr>
          <w:rFonts w:ascii="Times New Roman" w:hAnsi="Times New Roman" w:cs="Times New Roman"/>
          <w:sz w:val="24"/>
          <w:szCs w:val="24"/>
        </w:rPr>
        <w:t xml:space="preserve"> przeprowadzonego</w:t>
      </w:r>
      <w:r w:rsidR="00C53A54" w:rsidRPr="00541932">
        <w:rPr>
          <w:rFonts w:ascii="Times New Roman" w:hAnsi="Times New Roman" w:cs="Times New Roman"/>
          <w:sz w:val="24"/>
          <w:szCs w:val="24"/>
        </w:rPr>
        <w:t xml:space="preserve"> </w:t>
      </w:r>
      <w:r w:rsidR="009F1E75">
        <w:rPr>
          <w:rFonts w:ascii="Times New Roman" w:hAnsi="Times New Roman" w:cs="Times New Roman"/>
          <w:sz w:val="24"/>
          <w:szCs w:val="24"/>
        </w:rPr>
        <w:t>w </w:t>
      </w:r>
      <w:r w:rsidR="00C53A54" w:rsidRPr="00541932">
        <w:rPr>
          <w:rFonts w:ascii="Times New Roman" w:hAnsi="Times New Roman" w:cs="Times New Roman"/>
          <w:sz w:val="24"/>
          <w:szCs w:val="24"/>
        </w:rPr>
        <w:t>ramach</w:t>
      </w:r>
      <w:r w:rsidR="0079519B" w:rsidRPr="00541932">
        <w:rPr>
          <w:rFonts w:ascii="Times New Roman" w:hAnsi="Times New Roman" w:cs="Times New Roman"/>
          <w:sz w:val="24"/>
          <w:szCs w:val="24"/>
        </w:rPr>
        <w:t xml:space="preserve"> Narodowego Spisu Powszechnego Ludności i Mieszkań w 2011 r.</w:t>
      </w:r>
      <w:r w:rsidR="00C53A54" w:rsidRPr="00541932">
        <w:rPr>
          <w:rFonts w:ascii="Times New Roman" w:hAnsi="Times New Roman" w:cs="Times New Roman"/>
          <w:sz w:val="24"/>
          <w:szCs w:val="24"/>
        </w:rPr>
        <w:t xml:space="preserve"> </w:t>
      </w:r>
      <w:r w:rsidR="00260DA4" w:rsidRPr="00541932">
        <w:rPr>
          <w:rFonts w:ascii="Times New Roman" w:hAnsi="Times New Roman" w:cs="Times New Roman"/>
          <w:sz w:val="24"/>
          <w:szCs w:val="24"/>
        </w:rPr>
        <w:t>Obserwacje</w:t>
      </w:r>
      <w:r w:rsidR="005E35FA" w:rsidRPr="00541932">
        <w:rPr>
          <w:rFonts w:ascii="Times New Roman" w:hAnsi="Times New Roman" w:cs="Times New Roman"/>
          <w:sz w:val="24"/>
          <w:szCs w:val="24"/>
        </w:rPr>
        <w:t xml:space="preserve"> </w:t>
      </w:r>
      <w:r w:rsidR="007A3056">
        <w:rPr>
          <w:rFonts w:ascii="Times New Roman" w:hAnsi="Times New Roman" w:cs="Times New Roman"/>
          <w:sz w:val="24"/>
          <w:szCs w:val="24"/>
        </w:rPr>
        <w:t>dotyczące</w:t>
      </w:r>
      <w:r w:rsidR="005E35FA" w:rsidRPr="00541932">
        <w:rPr>
          <w:rFonts w:ascii="Times New Roman" w:hAnsi="Times New Roman" w:cs="Times New Roman"/>
          <w:sz w:val="24"/>
          <w:szCs w:val="24"/>
        </w:rPr>
        <w:t xml:space="preserve"> d</w:t>
      </w:r>
      <w:r w:rsidR="00260DA4" w:rsidRPr="00541932">
        <w:rPr>
          <w:rFonts w:ascii="Times New Roman" w:hAnsi="Times New Roman" w:cs="Times New Roman"/>
          <w:sz w:val="24"/>
          <w:szCs w:val="24"/>
        </w:rPr>
        <w:t>ojazdów do p</w:t>
      </w:r>
      <w:r w:rsidR="005E35FA" w:rsidRPr="00541932">
        <w:rPr>
          <w:rFonts w:ascii="Times New Roman" w:hAnsi="Times New Roman" w:cs="Times New Roman"/>
          <w:sz w:val="24"/>
          <w:szCs w:val="24"/>
        </w:rPr>
        <w:t>r</w:t>
      </w:r>
      <w:r w:rsidR="00260DA4" w:rsidRPr="00541932">
        <w:rPr>
          <w:rFonts w:ascii="Times New Roman" w:hAnsi="Times New Roman" w:cs="Times New Roman"/>
          <w:sz w:val="24"/>
          <w:szCs w:val="24"/>
        </w:rPr>
        <w:t>acy ma</w:t>
      </w:r>
      <w:r w:rsidR="00113688" w:rsidRPr="00541932">
        <w:rPr>
          <w:rFonts w:ascii="Times New Roman" w:hAnsi="Times New Roman" w:cs="Times New Roman"/>
          <w:sz w:val="24"/>
          <w:szCs w:val="24"/>
        </w:rPr>
        <w:t>ją bowiem</w:t>
      </w:r>
      <w:r w:rsidR="00260DA4" w:rsidRPr="00541932">
        <w:rPr>
          <w:rFonts w:ascii="Times New Roman" w:hAnsi="Times New Roman" w:cs="Times New Roman"/>
          <w:sz w:val="24"/>
          <w:szCs w:val="24"/>
        </w:rPr>
        <w:t xml:space="preserve"> istotne z</w:t>
      </w:r>
      <w:r w:rsidR="005E35FA" w:rsidRPr="00541932">
        <w:rPr>
          <w:rFonts w:ascii="Times New Roman" w:hAnsi="Times New Roman" w:cs="Times New Roman"/>
          <w:sz w:val="24"/>
          <w:szCs w:val="24"/>
        </w:rPr>
        <w:t>nacz</w:t>
      </w:r>
      <w:r w:rsidR="00260DA4" w:rsidRPr="00541932">
        <w:rPr>
          <w:rFonts w:ascii="Times New Roman" w:hAnsi="Times New Roman" w:cs="Times New Roman"/>
          <w:sz w:val="24"/>
          <w:szCs w:val="24"/>
        </w:rPr>
        <w:t>en</w:t>
      </w:r>
      <w:r w:rsidR="005E35FA" w:rsidRPr="00541932">
        <w:rPr>
          <w:rFonts w:ascii="Times New Roman" w:hAnsi="Times New Roman" w:cs="Times New Roman"/>
          <w:sz w:val="24"/>
          <w:szCs w:val="24"/>
        </w:rPr>
        <w:t>ie</w:t>
      </w:r>
      <w:r w:rsidR="00260DA4" w:rsidRPr="00541932">
        <w:rPr>
          <w:rFonts w:ascii="Times New Roman" w:hAnsi="Times New Roman" w:cs="Times New Roman"/>
          <w:sz w:val="24"/>
          <w:szCs w:val="24"/>
        </w:rPr>
        <w:t xml:space="preserve"> zarówno dla mo</w:t>
      </w:r>
      <w:r w:rsidR="005E35FA" w:rsidRPr="00541932">
        <w:rPr>
          <w:rFonts w:ascii="Times New Roman" w:hAnsi="Times New Roman" w:cs="Times New Roman"/>
          <w:sz w:val="24"/>
          <w:szCs w:val="24"/>
        </w:rPr>
        <w:t>n</w:t>
      </w:r>
      <w:r w:rsidR="00260DA4" w:rsidRPr="00541932">
        <w:rPr>
          <w:rFonts w:ascii="Times New Roman" w:hAnsi="Times New Roman" w:cs="Times New Roman"/>
          <w:sz w:val="24"/>
          <w:szCs w:val="24"/>
        </w:rPr>
        <w:t>itoro</w:t>
      </w:r>
      <w:r w:rsidR="005E35FA" w:rsidRPr="00541932">
        <w:rPr>
          <w:rFonts w:ascii="Times New Roman" w:hAnsi="Times New Roman" w:cs="Times New Roman"/>
          <w:sz w:val="24"/>
          <w:szCs w:val="24"/>
        </w:rPr>
        <w:t>wania przepływów ludności</w:t>
      </w:r>
      <w:r w:rsidR="004E7E7E" w:rsidRPr="00541932">
        <w:rPr>
          <w:rFonts w:ascii="Times New Roman" w:hAnsi="Times New Roman" w:cs="Times New Roman"/>
          <w:sz w:val="24"/>
          <w:szCs w:val="24"/>
        </w:rPr>
        <w:t xml:space="preserve"> </w:t>
      </w:r>
      <w:r w:rsidRPr="00541932">
        <w:rPr>
          <w:rFonts w:ascii="Times New Roman" w:hAnsi="Times New Roman" w:cs="Times New Roman"/>
          <w:sz w:val="24"/>
          <w:szCs w:val="24"/>
        </w:rPr>
        <w:t xml:space="preserve">związanych z zatrudnieniem </w:t>
      </w:r>
      <w:r w:rsidR="005E35FA" w:rsidRPr="00541932">
        <w:rPr>
          <w:rFonts w:ascii="Times New Roman" w:hAnsi="Times New Roman" w:cs="Times New Roman"/>
          <w:sz w:val="24"/>
          <w:szCs w:val="24"/>
        </w:rPr>
        <w:t xml:space="preserve">tak </w:t>
      </w:r>
      <w:r w:rsidR="006D269B" w:rsidRPr="00541932">
        <w:rPr>
          <w:rFonts w:ascii="Times New Roman" w:hAnsi="Times New Roman" w:cs="Times New Roman"/>
          <w:sz w:val="24"/>
          <w:szCs w:val="24"/>
        </w:rPr>
        <w:t xml:space="preserve">w </w:t>
      </w:r>
      <w:r w:rsidR="005E35FA" w:rsidRPr="00541932">
        <w:rPr>
          <w:rFonts w:ascii="Times New Roman" w:hAnsi="Times New Roman" w:cs="Times New Roman"/>
          <w:sz w:val="24"/>
          <w:szCs w:val="24"/>
        </w:rPr>
        <w:t>wymiarze</w:t>
      </w:r>
      <w:r w:rsidR="00260DA4" w:rsidRPr="00541932">
        <w:rPr>
          <w:rFonts w:ascii="Times New Roman" w:hAnsi="Times New Roman" w:cs="Times New Roman"/>
          <w:sz w:val="24"/>
          <w:szCs w:val="24"/>
        </w:rPr>
        <w:t xml:space="preserve"> k</w:t>
      </w:r>
      <w:r w:rsidR="005E35FA" w:rsidRPr="00541932">
        <w:rPr>
          <w:rFonts w:ascii="Times New Roman" w:hAnsi="Times New Roman" w:cs="Times New Roman"/>
          <w:sz w:val="24"/>
          <w:szCs w:val="24"/>
        </w:rPr>
        <w:t>r</w:t>
      </w:r>
      <w:r w:rsidR="00260DA4" w:rsidRPr="00541932">
        <w:rPr>
          <w:rFonts w:ascii="Times New Roman" w:hAnsi="Times New Roman" w:cs="Times New Roman"/>
          <w:sz w:val="24"/>
          <w:szCs w:val="24"/>
        </w:rPr>
        <w:t>ajo</w:t>
      </w:r>
      <w:r w:rsidR="005E35FA" w:rsidRPr="00541932">
        <w:rPr>
          <w:rFonts w:ascii="Times New Roman" w:hAnsi="Times New Roman" w:cs="Times New Roman"/>
          <w:sz w:val="24"/>
          <w:szCs w:val="24"/>
        </w:rPr>
        <w:t>wym jak</w:t>
      </w:r>
      <w:r w:rsidR="003F6507">
        <w:rPr>
          <w:rFonts w:ascii="Times New Roman" w:hAnsi="Times New Roman" w:cs="Times New Roman"/>
          <w:sz w:val="24"/>
          <w:szCs w:val="24"/>
        </w:rPr>
        <w:t xml:space="preserve"> i </w:t>
      </w:r>
      <w:r w:rsidR="00260DA4" w:rsidRPr="00541932">
        <w:rPr>
          <w:rFonts w:ascii="Times New Roman" w:hAnsi="Times New Roman" w:cs="Times New Roman"/>
          <w:sz w:val="24"/>
          <w:szCs w:val="24"/>
        </w:rPr>
        <w:t>regionalnym czy międzynar</w:t>
      </w:r>
      <w:r w:rsidR="005E35FA" w:rsidRPr="00541932">
        <w:rPr>
          <w:rFonts w:ascii="Times New Roman" w:hAnsi="Times New Roman" w:cs="Times New Roman"/>
          <w:sz w:val="24"/>
          <w:szCs w:val="24"/>
        </w:rPr>
        <w:t>o</w:t>
      </w:r>
      <w:r w:rsidR="00260DA4" w:rsidRPr="00541932">
        <w:rPr>
          <w:rFonts w:ascii="Times New Roman" w:hAnsi="Times New Roman" w:cs="Times New Roman"/>
          <w:sz w:val="24"/>
          <w:szCs w:val="24"/>
        </w:rPr>
        <w:t>d</w:t>
      </w:r>
      <w:r w:rsidR="005E35FA" w:rsidRPr="00541932">
        <w:rPr>
          <w:rFonts w:ascii="Times New Roman" w:hAnsi="Times New Roman" w:cs="Times New Roman"/>
          <w:sz w:val="24"/>
          <w:szCs w:val="24"/>
        </w:rPr>
        <w:t>owym</w:t>
      </w:r>
      <w:r w:rsidRPr="00541932">
        <w:rPr>
          <w:rFonts w:ascii="Times New Roman" w:hAnsi="Times New Roman" w:cs="Times New Roman"/>
          <w:sz w:val="24"/>
          <w:szCs w:val="24"/>
        </w:rPr>
        <w:t xml:space="preserve">, a także </w:t>
      </w:r>
      <w:r w:rsidR="005E35FA" w:rsidRPr="00541932">
        <w:rPr>
          <w:rFonts w:ascii="Times New Roman" w:hAnsi="Times New Roman" w:cs="Times New Roman"/>
          <w:sz w:val="24"/>
          <w:szCs w:val="24"/>
        </w:rPr>
        <w:t>w statystyce miast. Natężen</w:t>
      </w:r>
      <w:r w:rsidR="00260DA4" w:rsidRPr="00541932">
        <w:rPr>
          <w:rFonts w:ascii="Times New Roman" w:hAnsi="Times New Roman" w:cs="Times New Roman"/>
          <w:sz w:val="24"/>
          <w:szCs w:val="24"/>
        </w:rPr>
        <w:t>ie dojazdów do p</w:t>
      </w:r>
      <w:r w:rsidR="005E35FA" w:rsidRPr="00541932">
        <w:rPr>
          <w:rFonts w:ascii="Times New Roman" w:hAnsi="Times New Roman" w:cs="Times New Roman"/>
          <w:sz w:val="24"/>
          <w:szCs w:val="24"/>
        </w:rPr>
        <w:t>r</w:t>
      </w:r>
      <w:r w:rsidR="00260DA4" w:rsidRPr="00541932">
        <w:rPr>
          <w:rFonts w:ascii="Times New Roman" w:hAnsi="Times New Roman" w:cs="Times New Roman"/>
          <w:sz w:val="24"/>
          <w:szCs w:val="24"/>
        </w:rPr>
        <w:t>a</w:t>
      </w:r>
      <w:r w:rsidR="005E35FA" w:rsidRPr="00541932">
        <w:rPr>
          <w:rFonts w:ascii="Times New Roman" w:hAnsi="Times New Roman" w:cs="Times New Roman"/>
          <w:sz w:val="24"/>
          <w:szCs w:val="24"/>
        </w:rPr>
        <w:t xml:space="preserve">cy </w:t>
      </w:r>
      <w:r w:rsidR="008909D9" w:rsidRPr="00541932">
        <w:rPr>
          <w:rFonts w:ascii="Times New Roman" w:hAnsi="Times New Roman" w:cs="Times New Roman"/>
          <w:sz w:val="24"/>
          <w:szCs w:val="24"/>
        </w:rPr>
        <w:t>stanowi</w:t>
      </w:r>
      <w:r w:rsidR="005E35FA" w:rsidRPr="00541932">
        <w:rPr>
          <w:rFonts w:ascii="Times New Roman" w:hAnsi="Times New Roman" w:cs="Times New Roman"/>
          <w:sz w:val="24"/>
          <w:szCs w:val="24"/>
        </w:rPr>
        <w:t xml:space="preserve"> </w:t>
      </w:r>
      <w:r w:rsidRPr="00541932">
        <w:rPr>
          <w:rFonts w:ascii="Times New Roman" w:hAnsi="Times New Roman" w:cs="Times New Roman"/>
          <w:sz w:val="24"/>
          <w:szCs w:val="24"/>
        </w:rPr>
        <w:t xml:space="preserve">ponadto </w:t>
      </w:r>
      <w:r w:rsidR="00260DA4" w:rsidRPr="00541932">
        <w:rPr>
          <w:rFonts w:ascii="Times New Roman" w:hAnsi="Times New Roman" w:cs="Times New Roman"/>
          <w:sz w:val="24"/>
          <w:szCs w:val="24"/>
        </w:rPr>
        <w:t>w statys</w:t>
      </w:r>
      <w:r w:rsidR="005E35FA" w:rsidRPr="00541932">
        <w:rPr>
          <w:rFonts w:ascii="Times New Roman" w:hAnsi="Times New Roman" w:cs="Times New Roman"/>
          <w:sz w:val="24"/>
          <w:szCs w:val="24"/>
        </w:rPr>
        <w:t>ty</w:t>
      </w:r>
      <w:r w:rsidR="00260DA4" w:rsidRPr="00541932">
        <w:rPr>
          <w:rFonts w:ascii="Times New Roman" w:hAnsi="Times New Roman" w:cs="Times New Roman"/>
          <w:sz w:val="24"/>
          <w:szCs w:val="24"/>
        </w:rPr>
        <w:t>ce</w:t>
      </w:r>
      <w:r w:rsidR="005E35FA" w:rsidRPr="00541932">
        <w:rPr>
          <w:rFonts w:ascii="Times New Roman" w:hAnsi="Times New Roman" w:cs="Times New Roman"/>
          <w:sz w:val="24"/>
          <w:szCs w:val="24"/>
        </w:rPr>
        <w:t xml:space="preserve"> europej</w:t>
      </w:r>
      <w:r w:rsidR="008909D9" w:rsidRPr="00541932">
        <w:rPr>
          <w:rFonts w:ascii="Times New Roman" w:hAnsi="Times New Roman" w:cs="Times New Roman"/>
          <w:sz w:val="24"/>
          <w:szCs w:val="24"/>
        </w:rPr>
        <w:t>skiej główne</w:t>
      </w:r>
      <w:r w:rsidR="00260DA4" w:rsidRPr="00541932">
        <w:rPr>
          <w:rFonts w:ascii="Times New Roman" w:hAnsi="Times New Roman" w:cs="Times New Roman"/>
          <w:sz w:val="24"/>
          <w:szCs w:val="24"/>
        </w:rPr>
        <w:t xml:space="preserve"> kry</w:t>
      </w:r>
      <w:r w:rsidR="005E35FA" w:rsidRPr="00541932">
        <w:rPr>
          <w:rFonts w:ascii="Times New Roman" w:hAnsi="Times New Roman" w:cs="Times New Roman"/>
          <w:sz w:val="24"/>
          <w:szCs w:val="24"/>
        </w:rPr>
        <w:t>t</w:t>
      </w:r>
      <w:r w:rsidR="00260DA4" w:rsidRPr="00541932">
        <w:rPr>
          <w:rFonts w:ascii="Times New Roman" w:hAnsi="Times New Roman" w:cs="Times New Roman"/>
          <w:sz w:val="24"/>
          <w:szCs w:val="24"/>
        </w:rPr>
        <w:t>erium wyznaczania obszar</w:t>
      </w:r>
      <w:r w:rsidRPr="00541932">
        <w:rPr>
          <w:rFonts w:ascii="Times New Roman" w:hAnsi="Times New Roman" w:cs="Times New Roman"/>
          <w:sz w:val="24"/>
          <w:szCs w:val="24"/>
        </w:rPr>
        <w:t>ów</w:t>
      </w:r>
      <w:r w:rsidR="00260DA4" w:rsidRPr="00541932">
        <w:rPr>
          <w:rFonts w:ascii="Times New Roman" w:hAnsi="Times New Roman" w:cs="Times New Roman"/>
          <w:sz w:val="24"/>
          <w:szCs w:val="24"/>
        </w:rPr>
        <w:t xml:space="preserve"> fun</w:t>
      </w:r>
      <w:r w:rsidR="005E35FA" w:rsidRPr="00541932">
        <w:rPr>
          <w:rFonts w:ascii="Times New Roman" w:hAnsi="Times New Roman" w:cs="Times New Roman"/>
          <w:sz w:val="24"/>
          <w:szCs w:val="24"/>
        </w:rPr>
        <w:t>kcjon</w:t>
      </w:r>
      <w:r w:rsidR="00260DA4" w:rsidRPr="00541932">
        <w:rPr>
          <w:rFonts w:ascii="Times New Roman" w:hAnsi="Times New Roman" w:cs="Times New Roman"/>
          <w:sz w:val="24"/>
          <w:szCs w:val="24"/>
        </w:rPr>
        <w:t>al</w:t>
      </w:r>
      <w:r w:rsidR="005E35FA" w:rsidRPr="00541932">
        <w:rPr>
          <w:rFonts w:ascii="Times New Roman" w:hAnsi="Times New Roman" w:cs="Times New Roman"/>
          <w:sz w:val="24"/>
          <w:szCs w:val="24"/>
        </w:rPr>
        <w:t>n</w:t>
      </w:r>
      <w:r w:rsidRPr="00541932">
        <w:rPr>
          <w:rFonts w:ascii="Times New Roman" w:hAnsi="Times New Roman" w:cs="Times New Roman"/>
          <w:sz w:val="24"/>
          <w:szCs w:val="24"/>
        </w:rPr>
        <w:t>ych</w:t>
      </w:r>
      <w:r w:rsidR="005E35FA" w:rsidRPr="00541932">
        <w:rPr>
          <w:rFonts w:ascii="Times New Roman" w:hAnsi="Times New Roman" w:cs="Times New Roman"/>
          <w:sz w:val="24"/>
          <w:szCs w:val="24"/>
        </w:rPr>
        <w:t xml:space="preserve"> oddziały</w:t>
      </w:r>
      <w:r w:rsidR="00260DA4" w:rsidRPr="00541932">
        <w:rPr>
          <w:rFonts w:ascii="Times New Roman" w:hAnsi="Times New Roman" w:cs="Times New Roman"/>
          <w:sz w:val="24"/>
          <w:szCs w:val="24"/>
        </w:rPr>
        <w:t xml:space="preserve">wania miast. </w:t>
      </w:r>
      <w:r w:rsidR="005E35FA" w:rsidRPr="00541932">
        <w:rPr>
          <w:rFonts w:ascii="Times New Roman" w:hAnsi="Times New Roman" w:cs="Times New Roman"/>
          <w:sz w:val="24"/>
          <w:szCs w:val="24"/>
        </w:rPr>
        <w:t xml:space="preserve">W </w:t>
      </w:r>
      <w:r w:rsidR="00D10B4F" w:rsidRPr="00541932">
        <w:rPr>
          <w:rFonts w:ascii="Times New Roman" w:hAnsi="Times New Roman" w:cs="Times New Roman"/>
          <w:sz w:val="24"/>
          <w:szCs w:val="24"/>
        </w:rPr>
        <w:t xml:space="preserve">międzynarodowym </w:t>
      </w:r>
      <w:r w:rsidR="005E35FA" w:rsidRPr="00541932">
        <w:rPr>
          <w:rFonts w:ascii="Times New Roman" w:hAnsi="Times New Roman" w:cs="Times New Roman"/>
          <w:sz w:val="24"/>
          <w:szCs w:val="24"/>
        </w:rPr>
        <w:t xml:space="preserve">programie </w:t>
      </w:r>
      <w:r w:rsidR="009F1E75">
        <w:rPr>
          <w:rFonts w:ascii="Times New Roman" w:hAnsi="Times New Roman" w:cs="Times New Roman"/>
          <w:sz w:val="24"/>
          <w:szCs w:val="24"/>
        </w:rPr>
        <w:t>statystycznego</w:t>
      </w:r>
      <w:r w:rsidR="005E35FA" w:rsidRPr="00541932">
        <w:rPr>
          <w:rFonts w:ascii="Times New Roman" w:hAnsi="Times New Roman" w:cs="Times New Roman"/>
          <w:sz w:val="24"/>
          <w:szCs w:val="24"/>
        </w:rPr>
        <w:t xml:space="preserve"> monitoringu</w:t>
      </w:r>
      <w:r w:rsidR="00260DA4" w:rsidRPr="00541932">
        <w:rPr>
          <w:rFonts w:ascii="Times New Roman" w:hAnsi="Times New Roman" w:cs="Times New Roman"/>
          <w:sz w:val="24"/>
          <w:szCs w:val="24"/>
        </w:rPr>
        <w:t xml:space="preserve"> obsz</w:t>
      </w:r>
      <w:r w:rsidR="005E35FA" w:rsidRPr="00541932">
        <w:rPr>
          <w:rFonts w:ascii="Times New Roman" w:hAnsi="Times New Roman" w:cs="Times New Roman"/>
          <w:sz w:val="24"/>
          <w:szCs w:val="24"/>
        </w:rPr>
        <w:t>a</w:t>
      </w:r>
      <w:r w:rsidR="00260DA4" w:rsidRPr="00541932">
        <w:rPr>
          <w:rFonts w:ascii="Times New Roman" w:hAnsi="Times New Roman" w:cs="Times New Roman"/>
          <w:sz w:val="24"/>
          <w:szCs w:val="24"/>
        </w:rPr>
        <w:t>rów</w:t>
      </w:r>
      <w:r w:rsidR="005E35FA" w:rsidRPr="00541932">
        <w:rPr>
          <w:rFonts w:ascii="Times New Roman" w:hAnsi="Times New Roman" w:cs="Times New Roman"/>
          <w:sz w:val="24"/>
          <w:szCs w:val="24"/>
        </w:rPr>
        <w:t xml:space="preserve"> mie</w:t>
      </w:r>
      <w:r w:rsidR="00260DA4" w:rsidRPr="00541932">
        <w:rPr>
          <w:rFonts w:ascii="Times New Roman" w:hAnsi="Times New Roman" w:cs="Times New Roman"/>
          <w:sz w:val="24"/>
          <w:szCs w:val="24"/>
        </w:rPr>
        <w:t>j</w:t>
      </w:r>
      <w:r w:rsidR="005E35FA" w:rsidRPr="00541932">
        <w:rPr>
          <w:rFonts w:ascii="Times New Roman" w:hAnsi="Times New Roman" w:cs="Times New Roman"/>
          <w:sz w:val="24"/>
          <w:szCs w:val="24"/>
        </w:rPr>
        <w:t>skich Urban Audit natężenie dojazdów</w:t>
      </w:r>
      <w:r w:rsidR="00260DA4" w:rsidRPr="00541932">
        <w:rPr>
          <w:rFonts w:ascii="Times New Roman" w:hAnsi="Times New Roman" w:cs="Times New Roman"/>
          <w:sz w:val="24"/>
          <w:szCs w:val="24"/>
        </w:rPr>
        <w:t xml:space="preserve"> do p</w:t>
      </w:r>
      <w:r w:rsidR="005E35FA" w:rsidRPr="00541932">
        <w:rPr>
          <w:rFonts w:ascii="Times New Roman" w:hAnsi="Times New Roman" w:cs="Times New Roman"/>
          <w:sz w:val="24"/>
          <w:szCs w:val="24"/>
        </w:rPr>
        <w:t>r</w:t>
      </w:r>
      <w:r w:rsidR="00260DA4" w:rsidRPr="00541932">
        <w:rPr>
          <w:rFonts w:ascii="Times New Roman" w:hAnsi="Times New Roman" w:cs="Times New Roman"/>
          <w:sz w:val="24"/>
          <w:szCs w:val="24"/>
        </w:rPr>
        <w:t xml:space="preserve">acy </w:t>
      </w:r>
      <w:r w:rsidR="008909D9" w:rsidRPr="00541932">
        <w:rPr>
          <w:rFonts w:ascii="Times New Roman" w:hAnsi="Times New Roman" w:cs="Times New Roman"/>
          <w:sz w:val="24"/>
          <w:szCs w:val="24"/>
        </w:rPr>
        <w:t>w</w:t>
      </w:r>
      <w:r w:rsidR="00260DA4" w:rsidRPr="00541932">
        <w:rPr>
          <w:rFonts w:ascii="Times New Roman" w:hAnsi="Times New Roman" w:cs="Times New Roman"/>
          <w:sz w:val="24"/>
          <w:szCs w:val="24"/>
        </w:rPr>
        <w:t xml:space="preserve"> </w:t>
      </w:r>
      <w:r w:rsidR="008909D9" w:rsidRPr="00541932">
        <w:rPr>
          <w:rFonts w:ascii="Times New Roman" w:hAnsi="Times New Roman" w:cs="Times New Roman"/>
          <w:sz w:val="24"/>
          <w:szCs w:val="24"/>
        </w:rPr>
        <w:t xml:space="preserve">danym </w:t>
      </w:r>
      <w:r w:rsidR="00260DA4" w:rsidRPr="00541932">
        <w:rPr>
          <w:rFonts w:ascii="Times New Roman" w:hAnsi="Times New Roman" w:cs="Times New Roman"/>
          <w:sz w:val="24"/>
          <w:szCs w:val="24"/>
        </w:rPr>
        <w:t xml:space="preserve">mieście </w:t>
      </w:r>
      <w:r w:rsidR="005E35FA" w:rsidRPr="00541932">
        <w:rPr>
          <w:rFonts w:ascii="Times New Roman" w:hAnsi="Times New Roman" w:cs="Times New Roman"/>
          <w:sz w:val="24"/>
          <w:szCs w:val="24"/>
        </w:rPr>
        <w:t>stanowi podstawę</w:t>
      </w:r>
      <w:r w:rsidR="00260DA4" w:rsidRPr="00541932">
        <w:rPr>
          <w:rFonts w:ascii="Times New Roman" w:hAnsi="Times New Roman" w:cs="Times New Roman"/>
          <w:sz w:val="24"/>
          <w:szCs w:val="24"/>
        </w:rPr>
        <w:t xml:space="preserve"> wyz</w:t>
      </w:r>
      <w:r w:rsidR="005E35FA" w:rsidRPr="00541932">
        <w:rPr>
          <w:rFonts w:ascii="Times New Roman" w:hAnsi="Times New Roman" w:cs="Times New Roman"/>
          <w:sz w:val="24"/>
          <w:szCs w:val="24"/>
        </w:rPr>
        <w:t>naczania takich właśnie obszarów, zwanych tam szer</w:t>
      </w:r>
      <w:r w:rsidR="00DC68DD" w:rsidRPr="00541932">
        <w:rPr>
          <w:rFonts w:ascii="Times New Roman" w:hAnsi="Times New Roman" w:cs="Times New Roman"/>
          <w:sz w:val="24"/>
          <w:szCs w:val="24"/>
        </w:rPr>
        <w:t>szymi str</w:t>
      </w:r>
      <w:r w:rsidR="00260DA4" w:rsidRPr="00541932">
        <w:rPr>
          <w:rFonts w:ascii="Times New Roman" w:hAnsi="Times New Roman" w:cs="Times New Roman"/>
          <w:sz w:val="24"/>
          <w:szCs w:val="24"/>
        </w:rPr>
        <w:t>e</w:t>
      </w:r>
      <w:r w:rsidR="00DC68DD" w:rsidRPr="00541932">
        <w:rPr>
          <w:rFonts w:ascii="Times New Roman" w:hAnsi="Times New Roman" w:cs="Times New Roman"/>
          <w:sz w:val="24"/>
          <w:szCs w:val="24"/>
        </w:rPr>
        <w:t>fami miejskim</w:t>
      </w:r>
      <w:r w:rsidR="00260DA4" w:rsidRPr="00541932">
        <w:rPr>
          <w:rFonts w:ascii="Times New Roman" w:hAnsi="Times New Roman" w:cs="Times New Roman"/>
          <w:sz w:val="24"/>
          <w:szCs w:val="24"/>
        </w:rPr>
        <w:t>i</w:t>
      </w:r>
      <w:r w:rsidR="00DC68DD" w:rsidRPr="00541932">
        <w:rPr>
          <w:rFonts w:ascii="Times New Roman" w:hAnsi="Times New Roman" w:cs="Times New Roman"/>
          <w:sz w:val="24"/>
          <w:szCs w:val="24"/>
        </w:rPr>
        <w:t xml:space="preserve"> (ang. </w:t>
      </w:r>
      <w:proofErr w:type="spellStart"/>
      <w:r w:rsidR="00DC68DD" w:rsidRPr="00541932">
        <w:rPr>
          <w:rFonts w:ascii="Times New Roman" w:hAnsi="Times New Roman" w:cs="Times New Roman"/>
          <w:i/>
          <w:sz w:val="24"/>
          <w:szCs w:val="24"/>
        </w:rPr>
        <w:t>L</w:t>
      </w:r>
      <w:r w:rsidR="005E35FA" w:rsidRPr="00541932">
        <w:rPr>
          <w:rFonts w:ascii="Times New Roman" w:hAnsi="Times New Roman" w:cs="Times New Roman"/>
          <w:i/>
          <w:sz w:val="24"/>
          <w:szCs w:val="24"/>
        </w:rPr>
        <w:t>arger</w:t>
      </w:r>
      <w:proofErr w:type="spellEnd"/>
      <w:r w:rsidR="005E35FA" w:rsidRPr="00541932">
        <w:rPr>
          <w:rFonts w:ascii="Times New Roman" w:hAnsi="Times New Roman" w:cs="Times New Roman"/>
          <w:i/>
          <w:sz w:val="24"/>
          <w:szCs w:val="24"/>
        </w:rPr>
        <w:t xml:space="preserve"> Urban </w:t>
      </w:r>
      <w:proofErr w:type="spellStart"/>
      <w:r w:rsidR="005E35FA" w:rsidRPr="00541932">
        <w:rPr>
          <w:rFonts w:ascii="Times New Roman" w:hAnsi="Times New Roman" w:cs="Times New Roman"/>
          <w:i/>
          <w:sz w:val="24"/>
          <w:szCs w:val="24"/>
        </w:rPr>
        <w:t>Zone</w:t>
      </w:r>
      <w:r w:rsidR="008909D9" w:rsidRPr="00541932">
        <w:rPr>
          <w:rFonts w:ascii="Times New Roman" w:hAnsi="Times New Roman" w:cs="Times New Roman"/>
          <w:i/>
          <w:sz w:val="24"/>
          <w:szCs w:val="24"/>
        </w:rPr>
        <w:t>s</w:t>
      </w:r>
      <w:proofErr w:type="spellEnd"/>
      <w:r w:rsidR="005E35FA" w:rsidRPr="00541932">
        <w:rPr>
          <w:rFonts w:ascii="Times New Roman" w:hAnsi="Times New Roman" w:cs="Times New Roman"/>
          <w:sz w:val="24"/>
          <w:szCs w:val="24"/>
        </w:rPr>
        <w:t>)</w:t>
      </w:r>
      <w:r w:rsidR="008931F9" w:rsidRPr="00541932">
        <w:rPr>
          <w:rStyle w:val="Odwoanieprzypisudolnego"/>
          <w:rFonts w:ascii="Times New Roman" w:hAnsi="Times New Roman" w:cs="Times New Roman"/>
          <w:sz w:val="24"/>
          <w:szCs w:val="24"/>
        </w:rPr>
        <w:footnoteReference w:id="1"/>
      </w:r>
      <w:r w:rsidR="008909D9" w:rsidRPr="00541932">
        <w:rPr>
          <w:rFonts w:ascii="Times New Roman" w:hAnsi="Times New Roman" w:cs="Times New Roman"/>
          <w:sz w:val="24"/>
          <w:szCs w:val="24"/>
        </w:rPr>
        <w:t>, których obserwacja przyczynia</w:t>
      </w:r>
      <w:r w:rsidR="00260DA4" w:rsidRPr="00541932">
        <w:rPr>
          <w:rFonts w:ascii="Times New Roman" w:hAnsi="Times New Roman" w:cs="Times New Roman"/>
          <w:sz w:val="24"/>
          <w:szCs w:val="24"/>
        </w:rPr>
        <w:t xml:space="preserve"> się do lepszego poznania i stymulowania procesów urbanizacyjnych</w:t>
      </w:r>
      <w:r w:rsidR="005E35FA" w:rsidRPr="00541932">
        <w:rPr>
          <w:rFonts w:ascii="Times New Roman" w:hAnsi="Times New Roman" w:cs="Times New Roman"/>
          <w:sz w:val="24"/>
          <w:szCs w:val="24"/>
        </w:rPr>
        <w:t>.</w:t>
      </w:r>
    </w:p>
    <w:p w:rsidR="007F750B" w:rsidRPr="00541932" w:rsidRDefault="00871E11" w:rsidP="00541932">
      <w:pPr>
        <w:pStyle w:val="tekstgl"/>
        <w:spacing w:after="0" w:line="360" w:lineRule="auto"/>
        <w:ind w:firstLine="709"/>
        <w:rPr>
          <w:rFonts w:ascii="Times New Roman" w:hAnsi="Times New Roman" w:cs="Times New Roman"/>
          <w:sz w:val="24"/>
          <w:szCs w:val="24"/>
        </w:rPr>
      </w:pPr>
      <w:r w:rsidRPr="00871E11">
        <w:rPr>
          <w:rFonts w:ascii="Times New Roman" w:hAnsi="Times New Roman" w:cs="Times New Roman"/>
          <w:sz w:val="24"/>
          <w:szCs w:val="24"/>
        </w:rPr>
        <w:t xml:space="preserve">Wyniki Narodowego Spisu Powszechnego Ludności i Mieszkań 2011 w zakresie dojazdów – skali, wielkości strumieni i kierunków przepływów – przedstawiono (na podstawie źródeł administracyjnych) w publikacji </w:t>
      </w:r>
      <w:r>
        <w:rPr>
          <w:rFonts w:ascii="Times New Roman" w:hAnsi="Times New Roman" w:cs="Times New Roman"/>
          <w:sz w:val="24"/>
          <w:szCs w:val="24"/>
        </w:rPr>
        <w:t>GUS „Dojazdy do pracy”, GUS, US </w:t>
      </w:r>
      <w:r w:rsidRPr="00871E11">
        <w:rPr>
          <w:rFonts w:ascii="Times New Roman" w:hAnsi="Times New Roman" w:cs="Times New Roman"/>
          <w:sz w:val="24"/>
          <w:szCs w:val="24"/>
        </w:rPr>
        <w:t>Poznań 2014</w:t>
      </w:r>
      <w:r w:rsidR="007F750B">
        <w:rPr>
          <w:rFonts w:ascii="Times New Roman" w:hAnsi="Times New Roman" w:cs="Times New Roman"/>
          <w:sz w:val="24"/>
          <w:szCs w:val="24"/>
        </w:rPr>
        <w:t>.</w:t>
      </w:r>
      <w:r w:rsidR="007F750B">
        <w:rPr>
          <w:rStyle w:val="Odwoanieprzypisudolnego"/>
          <w:rFonts w:ascii="Times New Roman" w:hAnsi="Times New Roman" w:cs="Times New Roman"/>
          <w:sz w:val="24"/>
          <w:szCs w:val="24"/>
        </w:rPr>
        <w:footnoteReference w:id="2"/>
      </w:r>
    </w:p>
    <w:p w:rsidR="005E35FA" w:rsidRPr="00541932" w:rsidRDefault="00D06D4F" w:rsidP="00541932">
      <w:pPr>
        <w:pStyle w:val="tekstgl"/>
        <w:spacing w:after="0" w:line="360" w:lineRule="auto"/>
        <w:ind w:firstLine="709"/>
        <w:rPr>
          <w:rFonts w:ascii="Times New Roman" w:hAnsi="Times New Roman" w:cs="Times New Roman"/>
          <w:sz w:val="24"/>
          <w:szCs w:val="24"/>
        </w:rPr>
      </w:pPr>
      <w:r w:rsidRPr="00541932">
        <w:rPr>
          <w:rFonts w:ascii="Times New Roman" w:hAnsi="Times New Roman" w:cs="Times New Roman"/>
          <w:sz w:val="24"/>
          <w:szCs w:val="24"/>
        </w:rPr>
        <w:t>W ni</w:t>
      </w:r>
      <w:r w:rsidR="008F64DC" w:rsidRPr="00541932">
        <w:rPr>
          <w:rFonts w:ascii="Times New Roman" w:hAnsi="Times New Roman" w:cs="Times New Roman"/>
          <w:sz w:val="24"/>
          <w:szCs w:val="24"/>
        </w:rPr>
        <w:t xml:space="preserve">niejszym rozdziale </w:t>
      </w:r>
      <w:r w:rsidR="00567B37">
        <w:rPr>
          <w:rFonts w:ascii="Times New Roman" w:hAnsi="Times New Roman" w:cs="Times New Roman"/>
          <w:sz w:val="24"/>
          <w:szCs w:val="24"/>
        </w:rPr>
        <w:t>skoncentrowano się natomiast na charakterystyce osób</w:t>
      </w:r>
      <w:r w:rsidR="00DC68DD" w:rsidRPr="00541932">
        <w:rPr>
          <w:rFonts w:ascii="Times New Roman" w:hAnsi="Times New Roman" w:cs="Times New Roman"/>
          <w:sz w:val="24"/>
          <w:szCs w:val="24"/>
        </w:rPr>
        <w:t xml:space="preserve"> doj</w:t>
      </w:r>
      <w:r w:rsidR="00260DA4" w:rsidRPr="00541932">
        <w:rPr>
          <w:rFonts w:ascii="Times New Roman" w:hAnsi="Times New Roman" w:cs="Times New Roman"/>
          <w:sz w:val="24"/>
          <w:szCs w:val="24"/>
        </w:rPr>
        <w:t>e</w:t>
      </w:r>
      <w:r w:rsidR="00DC68DD" w:rsidRPr="00541932">
        <w:rPr>
          <w:rFonts w:ascii="Times New Roman" w:hAnsi="Times New Roman" w:cs="Times New Roman"/>
          <w:sz w:val="24"/>
          <w:szCs w:val="24"/>
        </w:rPr>
        <w:t>żd</w:t>
      </w:r>
      <w:r w:rsidR="00260DA4" w:rsidRPr="00541932">
        <w:rPr>
          <w:rFonts w:ascii="Times New Roman" w:hAnsi="Times New Roman" w:cs="Times New Roman"/>
          <w:sz w:val="24"/>
          <w:szCs w:val="24"/>
        </w:rPr>
        <w:t>ża</w:t>
      </w:r>
      <w:r w:rsidR="00DC68DD" w:rsidRPr="00541932">
        <w:rPr>
          <w:rFonts w:ascii="Times New Roman" w:hAnsi="Times New Roman" w:cs="Times New Roman"/>
          <w:sz w:val="24"/>
          <w:szCs w:val="24"/>
        </w:rPr>
        <w:t>j</w:t>
      </w:r>
      <w:r w:rsidR="00260DA4" w:rsidRPr="00541932">
        <w:rPr>
          <w:rFonts w:ascii="Times New Roman" w:hAnsi="Times New Roman" w:cs="Times New Roman"/>
          <w:sz w:val="24"/>
          <w:szCs w:val="24"/>
        </w:rPr>
        <w:t>ą</w:t>
      </w:r>
      <w:r w:rsidR="00DC68DD" w:rsidRPr="00541932">
        <w:rPr>
          <w:rFonts w:ascii="Times New Roman" w:hAnsi="Times New Roman" w:cs="Times New Roman"/>
          <w:sz w:val="24"/>
          <w:szCs w:val="24"/>
        </w:rPr>
        <w:t xml:space="preserve">cych do </w:t>
      </w:r>
      <w:r w:rsidR="00260DA4" w:rsidRPr="00541932">
        <w:rPr>
          <w:rFonts w:ascii="Times New Roman" w:hAnsi="Times New Roman" w:cs="Times New Roman"/>
          <w:sz w:val="24"/>
          <w:szCs w:val="24"/>
        </w:rPr>
        <w:t>p</w:t>
      </w:r>
      <w:r w:rsidR="00DC68DD" w:rsidRPr="00541932">
        <w:rPr>
          <w:rFonts w:ascii="Times New Roman" w:hAnsi="Times New Roman" w:cs="Times New Roman"/>
          <w:sz w:val="24"/>
          <w:szCs w:val="24"/>
        </w:rPr>
        <w:t>r</w:t>
      </w:r>
      <w:r w:rsidR="00260DA4" w:rsidRPr="00541932">
        <w:rPr>
          <w:rFonts w:ascii="Times New Roman" w:hAnsi="Times New Roman" w:cs="Times New Roman"/>
          <w:sz w:val="24"/>
          <w:szCs w:val="24"/>
        </w:rPr>
        <w:t>acy</w:t>
      </w:r>
      <w:r w:rsidR="00DC68DD" w:rsidRPr="00541932">
        <w:rPr>
          <w:rFonts w:ascii="Times New Roman" w:hAnsi="Times New Roman" w:cs="Times New Roman"/>
          <w:sz w:val="24"/>
          <w:szCs w:val="24"/>
        </w:rPr>
        <w:t xml:space="preserve"> </w:t>
      </w:r>
      <w:r w:rsidR="008F64DC" w:rsidRPr="00541932">
        <w:rPr>
          <w:rFonts w:ascii="Times New Roman" w:hAnsi="Times New Roman" w:cs="Times New Roman"/>
          <w:sz w:val="24"/>
          <w:szCs w:val="24"/>
        </w:rPr>
        <w:t xml:space="preserve">według </w:t>
      </w:r>
      <w:r w:rsidR="00094F15" w:rsidRPr="00541932">
        <w:rPr>
          <w:rFonts w:ascii="Times New Roman" w:hAnsi="Times New Roman" w:cs="Times New Roman"/>
          <w:sz w:val="24"/>
          <w:szCs w:val="24"/>
        </w:rPr>
        <w:t>płci, wieku</w:t>
      </w:r>
      <w:r w:rsidR="00E26E8E" w:rsidRPr="00541932">
        <w:rPr>
          <w:rFonts w:ascii="Times New Roman" w:hAnsi="Times New Roman" w:cs="Times New Roman"/>
          <w:sz w:val="24"/>
          <w:szCs w:val="24"/>
        </w:rPr>
        <w:t>, poziomu</w:t>
      </w:r>
      <w:r w:rsidR="00094F15" w:rsidRPr="00541932">
        <w:rPr>
          <w:rFonts w:ascii="Times New Roman" w:hAnsi="Times New Roman" w:cs="Times New Roman"/>
          <w:sz w:val="24"/>
          <w:szCs w:val="24"/>
        </w:rPr>
        <w:t xml:space="preserve"> wykształcenia, odle</w:t>
      </w:r>
      <w:r w:rsidR="00260DA4" w:rsidRPr="00541932">
        <w:rPr>
          <w:rFonts w:ascii="Times New Roman" w:hAnsi="Times New Roman" w:cs="Times New Roman"/>
          <w:sz w:val="24"/>
          <w:szCs w:val="24"/>
        </w:rPr>
        <w:t>głośc</w:t>
      </w:r>
      <w:r w:rsidR="00094F15" w:rsidRPr="00541932">
        <w:rPr>
          <w:rFonts w:ascii="Times New Roman" w:hAnsi="Times New Roman" w:cs="Times New Roman"/>
          <w:sz w:val="24"/>
          <w:szCs w:val="24"/>
        </w:rPr>
        <w:t>i pomi</w:t>
      </w:r>
      <w:r w:rsidR="00260DA4" w:rsidRPr="00541932">
        <w:rPr>
          <w:rFonts w:ascii="Times New Roman" w:hAnsi="Times New Roman" w:cs="Times New Roman"/>
          <w:sz w:val="24"/>
          <w:szCs w:val="24"/>
        </w:rPr>
        <w:t>ę</w:t>
      </w:r>
      <w:r w:rsidR="00094F15" w:rsidRPr="00541932">
        <w:rPr>
          <w:rFonts w:ascii="Times New Roman" w:hAnsi="Times New Roman" w:cs="Times New Roman"/>
          <w:sz w:val="24"/>
          <w:szCs w:val="24"/>
        </w:rPr>
        <w:t>d</w:t>
      </w:r>
      <w:r w:rsidR="00260DA4" w:rsidRPr="00541932">
        <w:rPr>
          <w:rFonts w:ascii="Times New Roman" w:hAnsi="Times New Roman" w:cs="Times New Roman"/>
          <w:sz w:val="24"/>
          <w:szCs w:val="24"/>
        </w:rPr>
        <w:t>zy</w:t>
      </w:r>
      <w:r w:rsidR="00094F15" w:rsidRPr="00541932">
        <w:rPr>
          <w:rFonts w:ascii="Times New Roman" w:hAnsi="Times New Roman" w:cs="Times New Roman"/>
          <w:sz w:val="24"/>
          <w:szCs w:val="24"/>
        </w:rPr>
        <w:t xml:space="preserve"> fa</w:t>
      </w:r>
      <w:r w:rsidR="00260DA4" w:rsidRPr="00541932">
        <w:rPr>
          <w:rFonts w:ascii="Times New Roman" w:hAnsi="Times New Roman" w:cs="Times New Roman"/>
          <w:sz w:val="24"/>
          <w:szCs w:val="24"/>
        </w:rPr>
        <w:t>k</w:t>
      </w:r>
      <w:r w:rsidR="00094F15" w:rsidRPr="00541932">
        <w:rPr>
          <w:rFonts w:ascii="Times New Roman" w:hAnsi="Times New Roman" w:cs="Times New Roman"/>
          <w:sz w:val="24"/>
          <w:szCs w:val="24"/>
        </w:rPr>
        <w:t>tyc</w:t>
      </w:r>
      <w:r w:rsidR="00260DA4" w:rsidRPr="00541932">
        <w:rPr>
          <w:rFonts w:ascii="Times New Roman" w:hAnsi="Times New Roman" w:cs="Times New Roman"/>
          <w:sz w:val="24"/>
          <w:szCs w:val="24"/>
        </w:rPr>
        <w:t>zn</w:t>
      </w:r>
      <w:r w:rsidR="00094F15" w:rsidRPr="00541932">
        <w:rPr>
          <w:rFonts w:ascii="Times New Roman" w:hAnsi="Times New Roman" w:cs="Times New Roman"/>
          <w:sz w:val="24"/>
          <w:szCs w:val="24"/>
        </w:rPr>
        <w:t>ym miejsce</w:t>
      </w:r>
      <w:r w:rsidR="00260DA4" w:rsidRPr="00541932">
        <w:rPr>
          <w:rFonts w:ascii="Times New Roman" w:hAnsi="Times New Roman" w:cs="Times New Roman"/>
          <w:sz w:val="24"/>
          <w:szCs w:val="24"/>
        </w:rPr>
        <w:t>m</w:t>
      </w:r>
      <w:r w:rsidR="00094F15" w:rsidRPr="00541932">
        <w:rPr>
          <w:rFonts w:ascii="Times New Roman" w:hAnsi="Times New Roman" w:cs="Times New Roman"/>
          <w:sz w:val="24"/>
          <w:szCs w:val="24"/>
        </w:rPr>
        <w:t xml:space="preserve"> z</w:t>
      </w:r>
      <w:r w:rsidR="00260DA4" w:rsidRPr="00541932">
        <w:rPr>
          <w:rFonts w:ascii="Times New Roman" w:hAnsi="Times New Roman" w:cs="Times New Roman"/>
          <w:sz w:val="24"/>
          <w:szCs w:val="24"/>
        </w:rPr>
        <w:t>a</w:t>
      </w:r>
      <w:r w:rsidR="00094F15" w:rsidRPr="00541932">
        <w:rPr>
          <w:rFonts w:ascii="Times New Roman" w:hAnsi="Times New Roman" w:cs="Times New Roman"/>
          <w:sz w:val="24"/>
          <w:szCs w:val="24"/>
        </w:rPr>
        <w:t>mi</w:t>
      </w:r>
      <w:r w:rsidR="00260DA4" w:rsidRPr="00541932">
        <w:rPr>
          <w:rFonts w:ascii="Times New Roman" w:hAnsi="Times New Roman" w:cs="Times New Roman"/>
          <w:sz w:val="24"/>
          <w:szCs w:val="24"/>
        </w:rPr>
        <w:t>e</w:t>
      </w:r>
      <w:r w:rsidR="00094F15" w:rsidRPr="00541932">
        <w:rPr>
          <w:rFonts w:ascii="Times New Roman" w:hAnsi="Times New Roman" w:cs="Times New Roman"/>
          <w:sz w:val="24"/>
          <w:szCs w:val="24"/>
        </w:rPr>
        <w:t>szkania a gł</w:t>
      </w:r>
      <w:r w:rsidR="00260DA4" w:rsidRPr="00541932">
        <w:rPr>
          <w:rFonts w:ascii="Times New Roman" w:hAnsi="Times New Roman" w:cs="Times New Roman"/>
          <w:sz w:val="24"/>
          <w:szCs w:val="24"/>
        </w:rPr>
        <w:t>ó</w:t>
      </w:r>
      <w:r w:rsidR="00094F15" w:rsidRPr="00541932">
        <w:rPr>
          <w:rFonts w:ascii="Times New Roman" w:hAnsi="Times New Roman" w:cs="Times New Roman"/>
          <w:sz w:val="24"/>
          <w:szCs w:val="24"/>
        </w:rPr>
        <w:t>w</w:t>
      </w:r>
      <w:r w:rsidR="00260DA4" w:rsidRPr="00541932">
        <w:rPr>
          <w:rFonts w:ascii="Times New Roman" w:hAnsi="Times New Roman" w:cs="Times New Roman"/>
          <w:sz w:val="24"/>
          <w:szCs w:val="24"/>
        </w:rPr>
        <w:t>n</w:t>
      </w:r>
      <w:r w:rsidR="00094F15" w:rsidRPr="00541932">
        <w:rPr>
          <w:rFonts w:ascii="Times New Roman" w:hAnsi="Times New Roman" w:cs="Times New Roman"/>
          <w:sz w:val="24"/>
          <w:szCs w:val="24"/>
        </w:rPr>
        <w:t xml:space="preserve">ym </w:t>
      </w:r>
      <w:r w:rsidR="00260DA4" w:rsidRPr="00541932">
        <w:rPr>
          <w:rFonts w:ascii="Times New Roman" w:hAnsi="Times New Roman" w:cs="Times New Roman"/>
          <w:sz w:val="24"/>
          <w:szCs w:val="24"/>
        </w:rPr>
        <w:t>m</w:t>
      </w:r>
      <w:r w:rsidR="00094F15" w:rsidRPr="00541932">
        <w:rPr>
          <w:rFonts w:ascii="Times New Roman" w:hAnsi="Times New Roman" w:cs="Times New Roman"/>
          <w:sz w:val="24"/>
          <w:szCs w:val="24"/>
        </w:rPr>
        <w:t>i</w:t>
      </w:r>
      <w:r w:rsidR="00260DA4" w:rsidRPr="00541932">
        <w:rPr>
          <w:rFonts w:ascii="Times New Roman" w:hAnsi="Times New Roman" w:cs="Times New Roman"/>
          <w:sz w:val="24"/>
          <w:szCs w:val="24"/>
        </w:rPr>
        <w:t>ej</w:t>
      </w:r>
      <w:r w:rsidR="00094F15" w:rsidRPr="00541932">
        <w:rPr>
          <w:rFonts w:ascii="Times New Roman" w:hAnsi="Times New Roman" w:cs="Times New Roman"/>
          <w:sz w:val="24"/>
          <w:szCs w:val="24"/>
        </w:rPr>
        <w:t xml:space="preserve">scem </w:t>
      </w:r>
      <w:r w:rsidR="00260DA4" w:rsidRPr="00541932">
        <w:rPr>
          <w:rFonts w:ascii="Times New Roman" w:hAnsi="Times New Roman" w:cs="Times New Roman"/>
          <w:sz w:val="24"/>
          <w:szCs w:val="24"/>
        </w:rPr>
        <w:t>p</w:t>
      </w:r>
      <w:r w:rsidR="00094F15" w:rsidRPr="00541932">
        <w:rPr>
          <w:rFonts w:ascii="Times New Roman" w:hAnsi="Times New Roman" w:cs="Times New Roman"/>
          <w:sz w:val="24"/>
          <w:szCs w:val="24"/>
        </w:rPr>
        <w:t>r</w:t>
      </w:r>
      <w:r w:rsidR="00260DA4" w:rsidRPr="00541932">
        <w:rPr>
          <w:rFonts w:ascii="Times New Roman" w:hAnsi="Times New Roman" w:cs="Times New Roman"/>
          <w:sz w:val="24"/>
          <w:szCs w:val="24"/>
        </w:rPr>
        <w:t>a</w:t>
      </w:r>
      <w:r w:rsidR="00094F15" w:rsidRPr="00541932">
        <w:rPr>
          <w:rFonts w:ascii="Times New Roman" w:hAnsi="Times New Roman" w:cs="Times New Roman"/>
          <w:sz w:val="24"/>
          <w:szCs w:val="24"/>
        </w:rPr>
        <w:t>cy, czasem dojazdu do gł</w:t>
      </w:r>
      <w:r w:rsidR="00260DA4" w:rsidRPr="00541932">
        <w:rPr>
          <w:rFonts w:ascii="Times New Roman" w:hAnsi="Times New Roman" w:cs="Times New Roman"/>
          <w:sz w:val="24"/>
          <w:szCs w:val="24"/>
        </w:rPr>
        <w:t>ó</w:t>
      </w:r>
      <w:r w:rsidR="00094F15" w:rsidRPr="00541932">
        <w:rPr>
          <w:rFonts w:ascii="Times New Roman" w:hAnsi="Times New Roman" w:cs="Times New Roman"/>
          <w:sz w:val="24"/>
          <w:szCs w:val="24"/>
        </w:rPr>
        <w:t>wneg</w:t>
      </w:r>
      <w:r w:rsidR="00260DA4" w:rsidRPr="00541932">
        <w:rPr>
          <w:rFonts w:ascii="Times New Roman" w:hAnsi="Times New Roman" w:cs="Times New Roman"/>
          <w:sz w:val="24"/>
          <w:szCs w:val="24"/>
        </w:rPr>
        <w:t>o</w:t>
      </w:r>
      <w:r w:rsidR="00094F15" w:rsidRPr="00541932">
        <w:rPr>
          <w:rFonts w:ascii="Times New Roman" w:hAnsi="Times New Roman" w:cs="Times New Roman"/>
          <w:sz w:val="24"/>
          <w:szCs w:val="24"/>
        </w:rPr>
        <w:t xml:space="preserve"> miejsca</w:t>
      </w:r>
      <w:r w:rsidR="00260DA4" w:rsidRPr="00541932">
        <w:rPr>
          <w:rFonts w:ascii="Times New Roman" w:hAnsi="Times New Roman" w:cs="Times New Roman"/>
          <w:sz w:val="24"/>
          <w:szCs w:val="24"/>
        </w:rPr>
        <w:t xml:space="preserve"> </w:t>
      </w:r>
      <w:r w:rsidR="00094F15" w:rsidRPr="00541932">
        <w:rPr>
          <w:rFonts w:ascii="Times New Roman" w:hAnsi="Times New Roman" w:cs="Times New Roman"/>
          <w:sz w:val="24"/>
          <w:szCs w:val="24"/>
        </w:rPr>
        <w:t>pr</w:t>
      </w:r>
      <w:r w:rsidR="00260DA4" w:rsidRPr="00541932">
        <w:rPr>
          <w:rFonts w:ascii="Times New Roman" w:hAnsi="Times New Roman" w:cs="Times New Roman"/>
          <w:sz w:val="24"/>
          <w:szCs w:val="24"/>
        </w:rPr>
        <w:t>a</w:t>
      </w:r>
      <w:r w:rsidR="00094F15" w:rsidRPr="00541932">
        <w:rPr>
          <w:rFonts w:ascii="Times New Roman" w:hAnsi="Times New Roman" w:cs="Times New Roman"/>
          <w:sz w:val="24"/>
          <w:szCs w:val="24"/>
        </w:rPr>
        <w:t>cy</w:t>
      </w:r>
      <w:r w:rsidR="00260DA4" w:rsidRPr="00541932">
        <w:rPr>
          <w:rFonts w:ascii="Times New Roman" w:hAnsi="Times New Roman" w:cs="Times New Roman"/>
          <w:sz w:val="24"/>
          <w:szCs w:val="24"/>
        </w:rPr>
        <w:t xml:space="preserve">, środkiem </w:t>
      </w:r>
      <w:r w:rsidR="00257555" w:rsidRPr="00541932">
        <w:rPr>
          <w:rFonts w:ascii="Times New Roman" w:hAnsi="Times New Roman" w:cs="Times New Roman"/>
          <w:sz w:val="24"/>
          <w:szCs w:val="24"/>
        </w:rPr>
        <w:t xml:space="preserve">transportu </w:t>
      </w:r>
      <w:r w:rsidR="00094F15" w:rsidRPr="00541932">
        <w:rPr>
          <w:rFonts w:ascii="Times New Roman" w:hAnsi="Times New Roman" w:cs="Times New Roman"/>
          <w:sz w:val="24"/>
          <w:szCs w:val="24"/>
        </w:rPr>
        <w:t>oraz często</w:t>
      </w:r>
      <w:r w:rsidR="00260DA4" w:rsidRPr="00541932">
        <w:rPr>
          <w:rFonts w:ascii="Times New Roman" w:hAnsi="Times New Roman" w:cs="Times New Roman"/>
          <w:sz w:val="24"/>
          <w:szCs w:val="24"/>
        </w:rPr>
        <w:t>tli</w:t>
      </w:r>
      <w:r w:rsidR="00094F15" w:rsidRPr="00541932">
        <w:rPr>
          <w:rFonts w:ascii="Times New Roman" w:hAnsi="Times New Roman" w:cs="Times New Roman"/>
          <w:sz w:val="24"/>
          <w:szCs w:val="24"/>
        </w:rPr>
        <w:t>w</w:t>
      </w:r>
      <w:r w:rsidR="00260DA4" w:rsidRPr="00541932">
        <w:rPr>
          <w:rFonts w:ascii="Times New Roman" w:hAnsi="Times New Roman" w:cs="Times New Roman"/>
          <w:sz w:val="24"/>
          <w:szCs w:val="24"/>
        </w:rPr>
        <w:t>oś</w:t>
      </w:r>
      <w:r w:rsidR="00094F15" w:rsidRPr="00541932">
        <w:rPr>
          <w:rFonts w:ascii="Times New Roman" w:hAnsi="Times New Roman" w:cs="Times New Roman"/>
          <w:sz w:val="24"/>
          <w:szCs w:val="24"/>
        </w:rPr>
        <w:t>c</w:t>
      </w:r>
      <w:r w:rsidR="00260DA4" w:rsidRPr="00541932">
        <w:rPr>
          <w:rFonts w:ascii="Times New Roman" w:hAnsi="Times New Roman" w:cs="Times New Roman"/>
          <w:sz w:val="24"/>
          <w:szCs w:val="24"/>
        </w:rPr>
        <w:t>ią</w:t>
      </w:r>
      <w:r w:rsidR="00094F15" w:rsidRPr="00541932">
        <w:rPr>
          <w:rFonts w:ascii="Times New Roman" w:hAnsi="Times New Roman" w:cs="Times New Roman"/>
          <w:sz w:val="24"/>
          <w:szCs w:val="24"/>
        </w:rPr>
        <w:t xml:space="preserve"> tego dojazdu. Szczeg</w:t>
      </w:r>
      <w:r w:rsidR="00260DA4" w:rsidRPr="00541932">
        <w:rPr>
          <w:rFonts w:ascii="Times New Roman" w:hAnsi="Times New Roman" w:cs="Times New Roman"/>
          <w:sz w:val="24"/>
          <w:szCs w:val="24"/>
        </w:rPr>
        <w:t>ó</w:t>
      </w:r>
      <w:r w:rsidR="00094F15" w:rsidRPr="00541932">
        <w:rPr>
          <w:rFonts w:ascii="Times New Roman" w:hAnsi="Times New Roman" w:cs="Times New Roman"/>
          <w:sz w:val="24"/>
          <w:szCs w:val="24"/>
        </w:rPr>
        <w:t>ln</w:t>
      </w:r>
      <w:r w:rsidR="00260DA4" w:rsidRPr="00541932">
        <w:rPr>
          <w:rFonts w:ascii="Times New Roman" w:hAnsi="Times New Roman" w:cs="Times New Roman"/>
          <w:sz w:val="24"/>
          <w:szCs w:val="24"/>
        </w:rPr>
        <w:t xml:space="preserve">ą </w:t>
      </w:r>
      <w:r w:rsidR="00094F15" w:rsidRPr="00541932">
        <w:rPr>
          <w:rFonts w:ascii="Times New Roman" w:hAnsi="Times New Roman" w:cs="Times New Roman"/>
          <w:sz w:val="24"/>
          <w:szCs w:val="24"/>
        </w:rPr>
        <w:t>uwagę skonc</w:t>
      </w:r>
      <w:r w:rsidR="00260DA4" w:rsidRPr="00541932">
        <w:rPr>
          <w:rFonts w:ascii="Times New Roman" w:hAnsi="Times New Roman" w:cs="Times New Roman"/>
          <w:sz w:val="24"/>
          <w:szCs w:val="24"/>
        </w:rPr>
        <w:t>en</w:t>
      </w:r>
      <w:r w:rsidR="00094F15" w:rsidRPr="00541932">
        <w:rPr>
          <w:rFonts w:ascii="Times New Roman" w:hAnsi="Times New Roman" w:cs="Times New Roman"/>
          <w:sz w:val="24"/>
          <w:szCs w:val="24"/>
        </w:rPr>
        <w:t>tro</w:t>
      </w:r>
      <w:r w:rsidR="00260DA4" w:rsidRPr="00541932">
        <w:rPr>
          <w:rFonts w:ascii="Times New Roman" w:hAnsi="Times New Roman" w:cs="Times New Roman"/>
          <w:sz w:val="24"/>
          <w:szCs w:val="24"/>
        </w:rPr>
        <w:t>w</w:t>
      </w:r>
      <w:r w:rsidR="00094F15" w:rsidRPr="00541932">
        <w:rPr>
          <w:rFonts w:ascii="Times New Roman" w:hAnsi="Times New Roman" w:cs="Times New Roman"/>
          <w:sz w:val="24"/>
          <w:szCs w:val="24"/>
        </w:rPr>
        <w:t>ano tutaj na ist</w:t>
      </w:r>
      <w:r w:rsidR="00260DA4" w:rsidRPr="00541932">
        <w:rPr>
          <w:rFonts w:ascii="Times New Roman" w:hAnsi="Times New Roman" w:cs="Times New Roman"/>
          <w:sz w:val="24"/>
          <w:szCs w:val="24"/>
        </w:rPr>
        <w:t>ot</w:t>
      </w:r>
      <w:r w:rsidR="00094F15" w:rsidRPr="00541932">
        <w:rPr>
          <w:rFonts w:ascii="Times New Roman" w:hAnsi="Times New Roman" w:cs="Times New Roman"/>
          <w:sz w:val="24"/>
          <w:szCs w:val="24"/>
        </w:rPr>
        <w:t xml:space="preserve">nych </w:t>
      </w:r>
      <w:r w:rsidR="00754321" w:rsidRPr="00541932">
        <w:rPr>
          <w:rFonts w:ascii="Times New Roman" w:hAnsi="Times New Roman" w:cs="Times New Roman"/>
          <w:sz w:val="24"/>
          <w:szCs w:val="24"/>
        </w:rPr>
        <w:t xml:space="preserve">wskaźnikach </w:t>
      </w:r>
      <w:r w:rsidR="00094F15" w:rsidRPr="00541932">
        <w:rPr>
          <w:rFonts w:ascii="Times New Roman" w:hAnsi="Times New Roman" w:cs="Times New Roman"/>
          <w:sz w:val="24"/>
          <w:szCs w:val="24"/>
        </w:rPr>
        <w:t>char</w:t>
      </w:r>
      <w:r w:rsidR="00260DA4" w:rsidRPr="00541932">
        <w:rPr>
          <w:rFonts w:ascii="Times New Roman" w:hAnsi="Times New Roman" w:cs="Times New Roman"/>
          <w:sz w:val="24"/>
          <w:szCs w:val="24"/>
        </w:rPr>
        <w:t>akt</w:t>
      </w:r>
      <w:r w:rsidR="006031F7" w:rsidRPr="00541932">
        <w:rPr>
          <w:rFonts w:ascii="Times New Roman" w:hAnsi="Times New Roman" w:cs="Times New Roman"/>
          <w:sz w:val="24"/>
          <w:szCs w:val="24"/>
        </w:rPr>
        <w:t xml:space="preserve">eryzujących rozpatrywane </w:t>
      </w:r>
      <w:r w:rsidR="00094F15" w:rsidRPr="00541932">
        <w:rPr>
          <w:rFonts w:ascii="Times New Roman" w:hAnsi="Times New Roman" w:cs="Times New Roman"/>
          <w:sz w:val="24"/>
          <w:szCs w:val="24"/>
        </w:rPr>
        <w:t>zjaw</w:t>
      </w:r>
      <w:r w:rsidR="00260DA4" w:rsidRPr="00541932">
        <w:rPr>
          <w:rFonts w:ascii="Times New Roman" w:hAnsi="Times New Roman" w:cs="Times New Roman"/>
          <w:sz w:val="24"/>
          <w:szCs w:val="24"/>
        </w:rPr>
        <w:t>is</w:t>
      </w:r>
      <w:r w:rsidR="00094F15" w:rsidRPr="00541932">
        <w:rPr>
          <w:rFonts w:ascii="Times New Roman" w:hAnsi="Times New Roman" w:cs="Times New Roman"/>
          <w:sz w:val="24"/>
          <w:szCs w:val="24"/>
        </w:rPr>
        <w:t>ko w spo</w:t>
      </w:r>
      <w:r w:rsidR="00260DA4" w:rsidRPr="00541932">
        <w:rPr>
          <w:rFonts w:ascii="Times New Roman" w:hAnsi="Times New Roman" w:cs="Times New Roman"/>
          <w:sz w:val="24"/>
          <w:szCs w:val="24"/>
        </w:rPr>
        <w:t>s</w:t>
      </w:r>
      <w:r w:rsidR="00094F15" w:rsidRPr="00541932">
        <w:rPr>
          <w:rFonts w:ascii="Times New Roman" w:hAnsi="Times New Roman" w:cs="Times New Roman"/>
          <w:sz w:val="24"/>
          <w:szCs w:val="24"/>
        </w:rPr>
        <w:t>ób umożliwiają</w:t>
      </w:r>
      <w:r w:rsidR="00260DA4" w:rsidRPr="00541932">
        <w:rPr>
          <w:rFonts w:ascii="Times New Roman" w:hAnsi="Times New Roman" w:cs="Times New Roman"/>
          <w:sz w:val="24"/>
          <w:szCs w:val="24"/>
        </w:rPr>
        <w:t>cy</w:t>
      </w:r>
      <w:r w:rsidR="00094F15" w:rsidRPr="00541932">
        <w:rPr>
          <w:rFonts w:ascii="Times New Roman" w:hAnsi="Times New Roman" w:cs="Times New Roman"/>
          <w:sz w:val="24"/>
          <w:szCs w:val="24"/>
        </w:rPr>
        <w:t xml:space="preserve"> po</w:t>
      </w:r>
      <w:r w:rsidR="00260DA4" w:rsidRPr="00541932">
        <w:rPr>
          <w:rFonts w:ascii="Times New Roman" w:hAnsi="Times New Roman" w:cs="Times New Roman"/>
          <w:sz w:val="24"/>
          <w:szCs w:val="24"/>
        </w:rPr>
        <w:t>rów</w:t>
      </w:r>
      <w:r w:rsidR="00094F15" w:rsidRPr="00541932">
        <w:rPr>
          <w:rFonts w:ascii="Times New Roman" w:hAnsi="Times New Roman" w:cs="Times New Roman"/>
          <w:sz w:val="24"/>
          <w:szCs w:val="24"/>
        </w:rPr>
        <w:t>nywaln</w:t>
      </w:r>
      <w:r w:rsidR="00260DA4" w:rsidRPr="00541932">
        <w:rPr>
          <w:rFonts w:ascii="Times New Roman" w:hAnsi="Times New Roman" w:cs="Times New Roman"/>
          <w:sz w:val="24"/>
          <w:szCs w:val="24"/>
        </w:rPr>
        <w:t>ość</w:t>
      </w:r>
      <w:r w:rsidR="00094F15" w:rsidRPr="00541932">
        <w:rPr>
          <w:rFonts w:ascii="Times New Roman" w:hAnsi="Times New Roman" w:cs="Times New Roman"/>
          <w:sz w:val="24"/>
          <w:szCs w:val="24"/>
        </w:rPr>
        <w:t xml:space="preserve"> mi</w:t>
      </w:r>
      <w:r w:rsidR="00260DA4" w:rsidRPr="00541932">
        <w:rPr>
          <w:rFonts w:ascii="Times New Roman" w:hAnsi="Times New Roman" w:cs="Times New Roman"/>
          <w:sz w:val="24"/>
          <w:szCs w:val="24"/>
        </w:rPr>
        <w:t>ę</w:t>
      </w:r>
      <w:r w:rsidR="00094F15" w:rsidRPr="00541932">
        <w:rPr>
          <w:rFonts w:ascii="Times New Roman" w:hAnsi="Times New Roman" w:cs="Times New Roman"/>
          <w:sz w:val="24"/>
          <w:szCs w:val="24"/>
        </w:rPr>
        <w:t>dzyregion</w:t>
      </w:r>
      <w:r w:rsidR="00260DA4" w:rsidRPr="00541932">
        <w:rPr>
          <w:rFonts w:ascii="Times New Roman" w:hAnsi="Times New Roman" w:cs="Times New Roman"/>
          <w:sz w:val="24"/>
          <w:szCs w:val="24"/>
        </w:rPr>
        <w:t>a</w:t>
      </w:r>
      <w:r w:rsidR="00094F15" w:rsidRPr="00541932">
        <w:rPr>
          <w:rFonts w:ascii="Times New Roman" w:hAnsi="Times New Roman" w:cs="Times New Roman"/>
          <w:sz w:val="24"/>
          <w:szCs w:val="24"/>
        </w:rPr>
        <w:t xml:space="preserve">lną. </w:t>
      </w:r>
    </w:p>
    <w:p w:rsidR="00D176E4" w:rsidRDefault="00D176E4" w:rsidP="00DE1EC4">
      <w:pPr>
        <w:keepNext/>
        <w:tabs>
          <w:tab w:val="left" w:pos="567"/>
        </w:tabs>
        <w:spacing w:before="240" w:after="120"/>
        <w:jc w:val="both"/>
        <w:rPr>
          <w:rFonts w:ascii="Times New Roman" w:hAnsi="Times New Roman" w:cs="Times New Roman"/>
          <w:b/>
          <w:sz w:val="28"/>
          <w:szCs w:val="28"/>
        </w:rPr>
      </w:pPr>
    </w:p>
    <w:p w:rsidR="009B1E9B" w:rsidRPr="00243CD6" w:rsidRDefault="00DE1EC4" w:rsidP="00DE1EC4">
      <w:pPr>
        <w:keepNext/>
        <w:tabs>
          <w:tab w:val="left" w:pos="567"/>
        </w:tabs>
        <w:spacing w:before="240" w:after="120"/>
        <w:jc w:val="both"/>
        <w:rPr>
          <w:rFonts w:ascii="Times New Roman" w:hAnsi="Times New Roman" w:cs="Times New Roman"/>
          <w:b/>
          <w:sz w:val="28"/>
          <w:szCs w:val="28"/>
        </w:rPr>
      </w:pPr>
      <w:r w:rsidRPr="00243CD6">
        <w:rPr>
          <w:rFonts w:ascii="Times New Roman" w:hAnsi="Times New Roman" w:cs="Times New Roman"/>
          <w:b/>
          <w:sz w:val="28"/>
          <w:szCs w:val="28"/>
        </w:rPr>
        <w:lastRenderedPageBreak/>
        <w:t xml:space="preserve">6.1. </w:t>
      </w:r>
      <w:r w:rsidR="009B1E9B" w:rsidRPr="00243CD6">
        <w:rPr>
          <w:rFonts w:ascii="Times New Roman" w:hAnsi="Times New Roman" w:cs="Times New Roman"/>
          <w:b/>
          <w:sz w:val="28"/>
          <w:szCs w:val="28"/>
        </w:rPr>
        <w:t>Stan i struktura osób</w:t>
      </w:r>
      <w:r w:rsidR="009B636B" w:rsidRPr="00243CD6">
        <w:rPr>
          <w:rFonts w:ascii="Times New Roman" w:hAnsi="Times New Roman" w:cs="Times New Roman"/>
          <w:b/>
          <w:sz w:val="28"/>
          <w:szCs w:val="28"/>
        </w:rPr>
        <w:t xml:space="preserve"> dojeżdżających do pracy</w:t>
      </w:r>
    </w:p>
    <w:p w:rsidR="00D654F0" w:rsidRPr="00541932" w:rsidRDefault="009B1E9B" w:rsidP="00541932">
      <w:pPr>
        <w:pStyle w:val="tekstgl"/>
        <w:spacing w:after="0" w:line="360" w:lineRule="auto"/>
        <w:ind w:firstLine="709"/>
        <w:rPr>
          <w:rFonts w:ascii="Times New Roman" w:hAnsi="Times New Roman" w:cs="Times New Roman"/>
          <w:sz w:val="24"/>
          <w:szCs w:val="24"/>
        </w:rPr>
      </w:pPr>
      <w:r w:rsidRPr="00541932">
        <w:rPr>
          <w:rFonts w:ascii="Times New Roman" w:hAnsi="Times New Roman" w:cs="Times New Roman"/>
          <w:sz w:val="24"/>
          <w:szCs w:val="24"/>
        </w:rPr>
        <w:t>Badani</w:t>
      </w:r>
      <w:r w:rsidR="00B74040" w:rsidRPr="00541932">
        <w:rPr>
          <w:rFonts w:ascii="Times New Roman" w:hAnsi="Times New Roman" w:cs="Times New Roman"/>
          <w:sz w:val="24"/>
          <w:szCs w:val="24"/>
        </w:rPr>
        <w:t>e reprezentacyjne przeprowadzone</w:t>
      </w:r>
      <w:r w:rsidRPr="00541932">
        <w:rPr>
          <w:rFonts w:ascii="Times New Roman" w:hAnsi="Times New Roman" w:cs="Times New Roman"/>
          <w:sz w:val="24"/>
          <w:szCs w:val="24"/>
        </w:rPr>
        <w:t xml:space="preserve"> w ramach Narodowego Spisu Powszechnego </w:t>
      </w:r>
      <w:r w:rsidR="004E5037" w:rsidRPr="00541932">
        <w:rPr>
          <w:rFonts w:ascii="Times New Roman" w:hAnsi="Times New Roman" w:cs="Times New Roman"/>
          <w:sz w:val="24"/>
          <w:szCs w:val="24"/>
        </w:rPr>
        <w:t xml:space="preserve">Ludności i Mieszkań </w:t>
      </w:r>
      <w:r w:rsidR="00352200" w:rsidRPr="00541932">
        <w:rPr>
          <w:rFonts w:ascii="Times New Roman" w:hAnsi="Times New Roman" w:cs="Times New Roman"/>
          <w:sz w:val="24"/>
          <w:szCs w:val="24"/>
        </w:rPr>
        <w:t xml:space="preserve">w </w:t>
      </w:r>
      <w:r w:rsidRPr="00541932">
        <w:rPr>
          <w:rFonts w:ascii="Times New Roman" w:hAnsi="Times New Roman" w:cs="Times New Roman"/>
          <w:sz w:val="24"/>
          <w:szCs w:val="24"/>
        </w:rPr>
        <w:t xml:space="preserve">2011 r. wykazało, że </w:t>
      </w:r>
      <w:r w:rsidR="00E1745F" w:rsidRPr="00541932">
        <w:rPr>
          <w:rFonts w:ascii="Times New Roman" w:hAnsi="Times New Roman" w:cs="Times New Roman"/>
          <w:sz w:val="24"/>
          <w:szCs w:val="24"/>
        </w:rPr>
        <w:t>do pracy dojeżdżało 9142</w:t>
      </w:r>
      <w:r w:rsidR="00E60D98" w:rsidRPr="00541932">
        <w:rPr>
          <w:rFonts w:ascii="Times New Roman" w:hAnsi="Times New Roman" w:cs="Times New Roman"/>
          <w:sz w:val="24"/>
          <w:szCs w:val="24"/>
        </w:rPr>
        <w:t xml:space="preserve">,5 tys. </w:t>
      </w:r>
      <w:r w:rsidR="00E1745F" w:rsidRPr="00541932">
        <w:rPr>
          <w:rFonts w:ascii="Times New Roman" w:hAnsi="Times New Roman" w:cs="Times New Roman"/>
          <w:sz w:val="24"/>
          <w:szCs w:val="24"/>
        </w:rPr>
        <w:t>osób, w tym 4081</w:t>
      </w:r>
      <w:r w:rsidR="00E60D98" w:rsidRPr="00541932">
        <w:rPr>
          <w:rFonts w:ascii="Times New Roman" w:hAnsi="Times New Roman" w:cs="Times New Roman"/>
          <w:sz w:val="24"/>
          <w:szCs w:val="24"/>
        </w:rPr>
        <w:t>,9 tys.</w:t>
      </w:r>
      <w:r w:rsidR="00351F3B" w:rsidRPr="00541932">
        <w:rPr>
          <w:rFonts w:ascii="Times New Roman" w:hAnsi="Times New Roman" w:cs="Times New Roman"/>
          <w:sz w:val="24"/>
          <w:szCs w:val="24"/>
        </w:rPr>
        <w:t xml:space="preserve"> kobiet (co stanowi 44,6%</w:t>
      </w:r>
      <w:r w:rsidR="00107801" w:rsidRPr="00541932">
        <w:rPr>
          <w:rFonts w:ascii="Times New Roman" w:hAnsi="Times New Roman" w:cs="Times New Roman"/>
          <w:sz w:val="24"/>
          <w:szCs w:val="24"/>
        </w:rPr>
        <w:t xml:space="preserve"> ogółu dojeżdżających</w:t>
      </w:r>
      <w:r w:rsidR="00D654F0" w:rsidRPr="00541932">
        <w:rPr>
          <w:rFonts w:ascii="Times New Roman" w:hAnsi="Times New Roman" w:cs="Times New Roman"/>
          <w:sz w:val="24"/>
          <w:szCs w:val="24"/>
        </w:rPr>
        <w:t xml:space="preserve">). W odniesieniu do ogółu pracujących dojeżdżało do pracy 60,7% osób; w przypadku kobiet było to 60,2%, zaś dla mężczyzn – 61,2%. </w:t>
      </w:r>
    </w:p>
    <w:p w:rsidR="00D654F0" w:rsidRPr="00541932" w:rsidRDefault="00D654F0" w:rsidP="00541932">
      <w:pPr>
        <w:pStyle w:val="tekstgl"/>
        <w:spacing w:after="0" w:line="360" w:lineRule="auto"/>
        <w:ind w:firstLine="709"/>
        <w:rPr>
          <w:rFonts w:ascii="Times New Roman" w:hAnsi="Times New Roman" w:cs="Times New Roman"/>
          <w:sz w:val="24"/>
          <w:szCs w:val="24"/>
        </w:rPr>
      </w:pPr>
      <w:r w:rsidRPr="00541932">
        <w:rPr>
          <w:rFonts w:ascii="Times New Roman" w:hAnsi="Times New Roman" w:cs="Times New Roman"/>
          <w:sz w:val="24"/>
          <w:szCs w:val="24"/>
        </w:rPr>
        <w:t xml:space="preserve"> Spośród wszystkich dojeżdżających do pracy najwięcej mieszkało w województwie mazowieckim (16,3%), a najmniej</w:t>
      </w:r>
      <w:r w:rsidR="00567B37">
        <w:rPr>
          <w:rFonts w:ascii="Times New Roman" w:hAnsi="Times New Roman" w:cs="Times New Roman"/>
          <w:sz w:val="24"/>
          <w:szCs w:val="24"/>
        </w:rPr>
        <w:t xml:space="preserve"> w województwie opolskim (2,1%), co wynika w głównej mierze z liczebności mieszkańców tych województw.</w:t>
      </w:r>
    </w:p>
    <w:p w:rsidR="00351F3B" w:rsidRPr="00541932" w:rsidRDefault="006A70F4" w:rsidP="00541932">
      <w:pPr>
        <w:pStyle w:val="tekstgl"/>
        <w:spacing w:after="0" w:line="360" w:lineRule="auto"/>
        <w:ind w:firstLine="709"/>
        <w:rPr>
          <w:rFonts w:ascii="Times New Roman" w:hAnsi="Times New Roman" w:cs="Times New Roman"/>
          <w:sz w:val="24"/>
          <w:szCs w:val="24"/>
        </w:rPr>
      </w:pPr>
      <w:r w:rsidRPr="00541932">
        <w:rPr>
          <w:rFonts w:ascii="Times New Roman" w:hAnsi="Times New Roman" w:cs="Times New Roman"/>
          <w:sz w:val="24"/>
          <w:szCs w:val="24"/>
        </w:rPr>
        <w:t>W układzie wojewódzkim udział dojeżdżających do pracy w liczbie pracujących zamykał się w przedziale</w:t>
      </w:r>
      <w:r w:rsidR="00351BFB" w:rsidRPr="00541932">
        <w:rPr>
          <w:rFonts w:ascii="Times New Roman" w:hAnsi="Times New Roman" w:cs="Times New Roman"/>
          <w:sz w:val="24"/>
          <w:szCs w:val="24"/>
        </w:rPr>
        <w:t xml:space="preserve"> od 48,7% (województwo podlaskie) do 70,7% (województwo śląskie</w:t>
      </w:r>
      <w:r w:rsidRPr="00541932">
        <w:rPr>
          <w:rFonts w:ascii="Times New Roman" w:hAnsi="Times New Roman" w:cs="Times New Roman"/>
          <w:sz w:val="24"/>
          <w:szCs w:val="24"/>
        </w:rPr>
        <w:t>)</w:t>
      </w:r>
      <w:r w:rsidR="00DB3104" w:rsidRPr="00541932">
        <w:rPr>
          <w:rFonts w:ascii="Times New Roman" w:hAnsi="Times New Roman" w:cs="Times New Roman"/>
          <w:sz w:val="24"/>
          <w:szCs w:val="24"/>
        </w:rPr>
        <w:t xml:space="preserve">, co obrazuje </w:t>
      </w:r>
      <w:r w:rsidR="00567B37">
        <w:rPr>
          <w:rFonts w:ascii="Times New Roman" w:hAnsi="Times New Roman" w:cs="Times New Roman"/>
          <w:sz w:val="24"/>
          <w:szCs w:val="24"/>
        </w:rPr>
        <w:t xml:space="preserve">poniższy </w:t>
      </w:r>
      <w:r w:rsidR="00DB3104" w:rsidRPr="00541932">
        <w:rPr>
          <w:rFonts w:ascii="Times New Roman" w:hAnsi="Times New Roman" w:cs="Times New Roman"/>
          <w:sz w:val="24"/>
          <w:szCs w:val="24"/>
        </w:rPr>
        <w:t>wykres.</w:t>
      </w:r>
      <w:r w:rsidR="00351BFB" w:rsidRPr="00541932">
        <w:rPr>
          <w:rFonts w:ascii="Times New Roman" w:hAnsi="Times New Roman" w:cs="Times New Roman"/>
          <w:sz w:val="24"/>
          <w:szCs w:val="24"/>
        </w:rPr>
        <w:t xml:space="preserve"> </w:t>
      </w:r>
    </w:p>
    <w:p w:rsidR="009F34DD" w:rsidRPr="00541932" w:rsidRDefault="002C4037" w:rsidP="00541932">
      <w:pPr>
        <w:keepNext/>
        <w:spacing w:after="0"/>
        <w:jc w:val="both"/>
        <w:rPr>
          <w:rFonts w:ascii="Times New Roman" w:hAnsi="Times New Roman" w:cs="Times New Roman"/>
          <w:b/>
          <w:sz w:val="20"/>
          <w:szCs w:val="20"/>
        </w:rPr>
      </w:pPr>
      <w:r w:rsidRPr="00541932">
        <w:rPr>
          <w:rFonts w:ascii="Times New Roman" w:hAnsi="Times New Roman" w:cs="Times New Roman"/>
          <w:b/>
          <w:sz w:val="20"/>
          <w:szCs w:val="20"/>
        </w:rPr>
        <w:t xml:space="preserve">Wykres </w:t>
      </w:r>
      <w:r w:rsidR="00D55B40">
        <w:rPr>
          <w:rFonts w:ascii="Times New Roman" w:hAnsi="Times New Roman" w:cs="Times New Roman"/>
          <w:b/>
          <w:sz w:val="20"/>
          <w:szCs w:val="20"/>
        </w:rPr>
        <w:t>6</w:t>
      </w:r>
      <w:r w:rsidR="0029666D">
        <w:rPr>
          <w:rFonts w:ascii="Times New Roman" w:hAnsi="Times New Roman" w:cs="Times New Roman"/>
          <w:b/>
          <w:sz w:val="20"/>
          <w:szCs w:val="20"/>
        </w:rPr>
        <w:t>.1</w:t>
      </w:r>
      <w:r w:rsidRPr="00541932">
        <w:rPr>
          <w:rFonts w:ascii="Times New Roman" w:hAnsi="Times New Roman" w:cs="Times New Roman"/>
          <w:b/>
          <w:sz w:val="20"/>
          <w:szCs w:val="20"/>
        </w:rPr>
        <w:t xml:space="preserve">.  </w:t>
      </w:r>
      <w:r w:rsidR="0004475D" w:rsidRPr="00541932">
        <w:rPr>
          <w:rFonts w:ascii="Times New Roman" w:hAnsi="Times New Roman" w:cs="Times New Roman"/>
          <w:b/>
          <w:sz w:val="20"/>
          <w:szCs w:val="20"/>
        </w:rPr>
        <w:t>Udział d</w:t>
      </w:r>
      <w:r w:rsidR="002B0DD8" w:rsidRPr="00541932">
        <w:rPr>
          <w:rFonts w:ascii="Times New Roman" w:hAnsi="Times New Roman" w:cs="Times New Roman"/>
          <w:b/>
          <w:sz w:val="20"/>
          <w:szCs w:val="20"/>
        </w:rPr>
        <w:t>ojeżdżający</w:t>
      </w:r>
      <w:r w:rsidR="0004475D" w:rsidRPr="00541932">
        <w:rPr>
          <w:rFonts w:ascii="Times New Roman" w:hAnsi="Times New Roman" w:cs="Times New Roman"/>
          <w:b/>
          <w:sz w:val="20"/>
          <w:szCs w:val="20"/>
        </w:rPr>
        <w:t>ch</w:t>
      </w:r>
      <w:r w:rsidR="002B0DD8" w:rsidRPr="00541932">
        <w:rPr>
          <w:rFonts w:ascii="Times New Roman" w:hAnsi="Times New Roman" w:cs="Times New Roman"/>
          <w:b/>
          <w:sz w:val="20"/>
          <w:szCs w:val="20"/>
        </w:rPr>
        <w:t xml:space="preserve"> do pracy </w:t>
      </w:r>
      <w:r w:rsidR="0004475D" w:rsidRPr="00541932">
        <w:rPr>
          <w:rFonts w:ascii="Times New Roman" w:hAnsi="Times New Roman" w:cs="Times New Roman"/>
          <w:b/>
          <w:sz w:val="20"/>
          <w:szCs w:val="20"/>
        </w:rPr>
        <w:t xml:space="preserve">w liczbie pracujących </w:t>
      </w:r>
      <w:r w:rsidR="002B0DD8" w:rsidRPr="00541932">
        <w:rPr>
          <w:rFonts w:ascii="Times New Roman" w:hAnsi="Times New Roman" w:cs="Times New Roman"/>
          <w:b/>
          <w:sz w:val="20"/>
          <w:szCs w:val="20"/>
        </w:rPr>
        <w:t>według województw</w:t>
      </w:r>
      <w:r w:rsidR="0004475D" w:rsidRPr="00541932">
        <w:rPr>
          <w:rFonts w:ascii="Times New Roman" w:hAnsi="Times New Roman" w:cs="Times New Roman"/>
          <w:b/>
          <w:sz w:val="20"/>
          <w:szCs w:val="20"/>
        </w:rPr>
        <w:t xml:space="preserve"> (w %)</w:t>
      </w:r>
    </w:p>
    <w:p w:rsidR="00AC0A43" w:rsidRPr="0024503A" w:rsidRDefault="009601FC" w:rsidP="00ED4CA3">
      <w:pPr>
        <w:keepNext/>
        <w:spacing w:after="100"/>
        <w:jc w:val="both"/>
        <w:rPr>
          <w:rFonts w:asciiTheme="majorHAnsi" w:hAnsiTheme="majorHAnsi"/>
        </w:rPr>
      </w:pPr>
      <w:r w:rsidRPr="00D41159">
        <w:rPr>
          <w:noProof/>
          <w:lang w:eastAsia="pl-PL"/>
        </w:rPr>
        <w:drawing>
          <wp:inline distT="0" distB="0" distL="0" distR="0">
            <wp:extent cx="5486400" cy="3200400"/>
            <wp:effectExtent l="19050" t="0" r="0" b="0"/>
            <wp:docPr id="1"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C4037" w:rsidRPr="00541932" w:rsidRDefault="00AE18D5" w:rsidP="00541932">
      <w:pPr>
        <w:pStyle w:val="tekstgl"/>
        <w:spacing w:line="360" w:lineRule="auto"/>
        <w:ind w:firstLine="709"/>
        <w:rPr>
          <w:rFonts w:ascii="Times New Roman" w:hAnsi="Times New Roman" w:cs="Times New Roman"/>
          <w:sz w:val="24"/>
          <w:szCs w:val="24"/>
        </w:rPr>
      </w:pPr>
      <w:r w:rsidRPr="00541932">
        <w:rPr>
          <w:rFonts w:ascii="Times New Roman" w:hAnsi="Times New Roman" w:cs="Times New Roman"/>
          <w:sz w:val="24"/>
          <w:szCs w:val="24"/>
        </w:rPr>
        <w:t>Spośród osób dojeżdżających do pr</w:t>
      </w:r>
      <w:r w:rsidR="00C65A24" w:rsidRPr="00541932">
        <w:rPr>
          <w:rFonts w:ascii="Times New Roman" w:hAnsi="Times New Roman" w:cs="Times New Roman"/>
          <w:sz w:val="24"/>
          <w:szCs w:val="24"/>
        </w:rPr>
        <w:t>a</w:t>
      </w:r>
      <w:r w:rsidR="00BA1FBA" w:rsidRPr="00541932">
        <w:rPr>
          <w:rFonts w:ascii="Times New Roman" w:hAnsi="Times New Roman" w:cs="Times New Roman"/>
          <w:sz w:val="24"/>
          <w:szCs w:val="24"/>
        </w:rPr>
        <w:t>cy 5876</w:t>
      </w:r>
      <w:r w:rsidR="00FB451F" w:rsidRPr="00541932">
        <w:rPr>
          <w:rFonts w:ascii="Times New Roman" w:hAnsi="Times New Roman" w:cs="Times New Roman"/>
          <w:sz w:val="24"/>
          <w:szCs w:val="24"/>
        </w:rPr>
        <w:t>,9 tys.</w:t>
      </w:r>
      <w:r w:rsidRPr="00541932">
        <w:rPr>
          <w:rFonts w:ascii="Times New Roman" w:hAnsi="Times New Roman" w:cs="Times New Roman"/>
          <w:sz w:val="24"/>
          <w:szCs w:val="24"/>
        </w:rPr>
        <w:t xml:space="preserve"> (czyli 64,3%) mieszkało</w:t>
      </w:r>
      <w:r w:rsidR="00D762A9" w:rsidRPr="00541932">
        <w:rPr>
          <w:rStyle w:val="Odwoanieprzypisudolnego"/>
          <w:rFonts w:ascii="Times New Roman" w:hAnsi="Times New Roman" w:cs="Times New Roman"/>
          <w:sz w:val="24"/>
          <w:szCs w:val="24"/>
        </w:rPr>
        <w:footnoteReference w:id="3"/>
      </w:r>
      <w:r w:rsidR="003F6507">
        <w:rPr>
          <w:rFonts w:ascii="Times New Roman" w:hAnsi="Times New Roman" w:cs="Times New Roman"/>
          <w:sz w:val="24"/>
          <w:szCs w:val="24"/>
        </w:rPr>
        <w:t xml:space="preserve"> w </w:t>
      </w:r>
      <w:r w:rsidRPr="00541932">
        <w:rPr>
          <w:rFonts w:ascii="Times New Roman" w:hAnsi="Times New Roman" w:cs="Times New Roman"/>
          <w:sz w:val="24"/>
          <w:szCs w:val="24"/>
        </w:rPr>
        <w:t>miastach, zaś 3265</w:t>
      </w:r>
      <w:r w:rsidR="00FB451F" w:rsidRPr="00541932">
        <w:rPr>
          <w:rFonts w:ascii="Times New Roman" w:hAnsi="Times New Roman" w:cs="Times New Roman"/>
          <w:sz w:val="24"/>
          <w:szCs w:val="24"/>
        </w:rPr>
        <w:t>,5 tys.</w:t>
      </w:r>
      <w:r w:rsidRPr="00541932">
        <w:rPr>
          <w:rFonts w:ascii="Times New Roman" w:hAnsi="Times New Roman" w:cs="Times New Roman"/>
          <w:sz w:val="24"/>
          <w:szCs w:val="24"/>
        </w:rPr>
        <w:t xml:space="preserve"> (35,7%) – na wsi. W większo</w:t>
      </w:r>
      <w:r w:rsidR="00C65A24" w:rsidRPr="00541932">
        <w:rPr>
          <w:rFonts w:ascii="Times New Roman" w:hAnsi="Times New Roman" w:cs="Times New Roman"/>
          <w:sz w:val="24"/>
          <w:szCs w:val="24"/>
        </w:rPr>
        <w:t>ś</w:t>
      </w:r>
      <w:r w:rsidRPr="00541932">
        <w:rPr>
          <w:rFonts w:ascii="Times New Roman" w:hAnsi="Times New Roman" w:cs="Times New Roman"/>
          <w:sz w:val="24"/>
          <w:szCs w:val="24"/>
        </w:rPr>
        <w:t>ci województw wśród dojeżd</w:t>
      </w:r>
      <w:r w:rsidR="00C65A24" w:rsidRPr="00541932">
        <w:rPr>
          <w:rFonts w:ascii="Times New Roman" w:hAnsi="Times New Roman" w:cs="Times New Roman"/>
          <w:sz w:val="24"/>
          <w:szCs w:val="24"/>
        </w:rPr>
        <w:t>ż</w:t>
      </w:r>
      <w:r w:rsidRPr="00541932">
        <w:rPr>
          <w:rFonts w:ascii="Times New Roman" w:hAnsi="Times New Roman" w:cs="Times New Roman"/>
          <w:sz w:val="24"/>
          <w:szCs w:val="24"/>
        </w:rPr>
        <w:t>ających do pr</w:t>
      </w:r>
      <w:r w:rsidR="00C65A24" w:rsidRPr="00541932">
        <w:rPr>
          <w:rFonts w:ascii="Times New Roman" w:hAnsi="Times New Roman" w:cs="Times New Roman"/>
          <w:sz w:val="24"/>
          <w:szCs w:val="24"/>
        </w:rPr>
        <w:t>a</w:t>
      </w:r>
      <w:r w:rsidRPr="00541932">
        <w:rPr>
          <w:rFonts w:ascii="Times New Roman" w:hAnsi="Times New Roman" w:cs="Times New Roman"/>
          <w:sz w:val="24"/>
          <w:szCs w:val="24"/>
        </w:rPr>
        <w:t>cy tak</w:t>
      </w:r>
      <w:r w:rsidR="00C65A24" w:rsidRPr="00541932">
        <w:rPr>
          <w:rFonts w:ascii="Times New Roman" w:hAnsi="Times New Roman" w:cs="Times New Roman"/>
          <w:sz w:val="24"/>
          <w:szCs w:val="24"/>
        </w:rPr>
        <w:t>ż</w:t>
      </w:r>
      <w:r w:rsidRPr="00541932">
        <w:rPr>
          <w:rFonts w:ascii="Times New Roman" w:hAnsi="Times New Roman" w:cs="Times New Roman"/>
          <w:sz w:val="24"/>
          <w:szCs w:val="24"/>
        </w:rPr>
        <w:t>e przeważała ludnoś</w:t>
      </w:r>
      <w:r w:rsidR="00C65A24" w:rsidRPr="00541932">
        <w:rPr>
          <w:rFonts w:ascii="Times New Roman" w:hAnsi="Times New Roman" w:cs="Times New Roman"/>
          <w:sz w:val="24"/>
          <w:szCs w:val="24"/>
        </w:rPr>
        <w:t>ć</w:t>
      </w:r>
      <w:r w:rsidRPr="00541932">
        <w:rPr>
          <w:rFonts w:ascii="Times New Roman" w:hAnsi="Times New Roman" w:cs="Times New Roman"/>
          <w:sz w:val="24"/>
          <w:szCs w:val="24"/>
        </w:rPr>
        <w:t xml:space="preserve"> miejs</w:t>
      </w:r>
      <w:r w:rsidR="00C65A24" w:rsidRPr="00541932">
        <w:rPr>
          <w:rFonts w:ascii="Times New Roman" w:hAnsi="Times New Roman" w:cs="Times New Roman"/>
          <w:sz w:val="24"/>
          <w:szCs w:val="24"/>
        </w:rPr>
        <w:t>k</w:t>
      </w:r>
      <w:r w:rsidRPr="00541932">
        <w:rPr>
          <w:rFonts w:ascii="Times New Roman" w:hAnsi="Times New Roman" w:cs="Times New Roman"/>
          <w:sz w:val="24"/>
          <w:szCs w:val="24"/>
        </w:rPr>
        <w:t>a. Wyjątkiem są tutaj województwa: podkarpackie (gdzie na wsi mieszkało 58,9% dojeżdżających, zaś w mieście – 41,1%</w:t>
      </w:r>
      <w:r w:rsidR="006776E7" w:rsidRPr="00541932">
        <w:rPr>
          <w:rFonts w:ascii="Times New Roman" w:hAnsi="Times New Roman" w:cs="Times New Roman"/>
          <w:sz w:val="24"/>
          <w:szCs w:val="24"/>
        </w:rPr>
        <w:t>), świętokrzyskie (odpowiednio 52,4% i</w:t>
      </w:r>
      <w:r w:rsidR="00E60DE7" w:rsidRPr="00541932">
        <w:rPr>
          <w:rFonts w:ascii="Times New Roman" w:hAnsi="Times New Roman" w:cs="Times New Roman"/>
          <w:sz w:val="24"/>
          <w:szCs w:val="24"/>
        </w:rPr>
        <w:t xml:space="preserve"> </w:t>
      </w:r>
      <w:r w:rsidR="006776E7" w:rsidRPr="00541932">
        <w:rPr>
          <w:rFonts w:ascii="Times New Roman" w:hAnsi="Times New Roman" w:cs="Times New Roman"/>
          <w:sz w:val="24"/>
          <w:szCs w:val="24"/>
        </w:rPr>
        <w:t xml:space="preserve">47,6%) </w:t>
      </w:r>
      <w:r w:rsidR="0067749A" w:rsidRPr="00541932">
        <w:rPr>
          <w:rFonts w:ascii="Times New Roman" w:hAnsi="Times New Roman" w:cs="Times New Roman"/>
          <w:sz w:val="24"/>
          <w:szCs w:val="24"/>
        </w:rPr>
        <w:t>oraz op</w:t>
      </w:r>
      <w:r w:rsidR="00C65A24" w:rsidRPr="00541932">
        <w:rPr>
          <w:rFonts w:ascii="Times New Roman" w:hAnsi="Times New Roman" w:cs="Times New Roman"/>
          <w:sz w:val="24"/>
          <w:szCs w:val="24"/>
        </w:rPr>
        <w:t>o</w:t>
      </w:r>
      <w:r w:rsidR="0067749A" w:rsidRPr="00541932">
        <w:rPr>
          <w:rFonts w:ascii="Times New Roman" w:hAnsi="Times New Roman" w:cs="Times New Roman"/>
          <w:sz w:val="24"/>
          <w:szCs w:val="24"/>
        </w:rPr>
        <w:t>lskie, w którym oba udzia</w:t>
      </w:r>
      <w:r w:rsidR="00C65A24" w:rsidRPr="00541932">
        <w:rPr>
          <w:rFonts w:ascii="Times New Roman" w:hAnsi="Times New Roman" w:cs="Times New Roman"/>
          <w:sz w:val="24"/>
          <w:szCs w:val="24"/>
        </w:rPr>
        <w:t>ł</w:t>
      </w:r>
      <w:r w:rsidR="0067749A" w:rsidRPr="00541932">
        <w:rPr>
          <w:rFonts w:ascii="Times New Roman" w:hAnsi="Times New Roman" w:cs="Times New Roman"/>
          <w:sz w:val="24"/>
          <w:szCs w:val="24"/>
        </w:rPr>
        <w:t xml:space="preserve">y były </w:t>
      </w:r>
      <w:r w:rsidR="00C65A24" w:rsidRPr="00541932">
        <w:rPr>
          <w:rFonts w:ascii="Times New Roman" w:hAnsi="Times New Roman" w:cs="Times New Roman"/>
          <w:sz w:val="24"/>
          <w:szCs w:val="24"/>
        </w:rPr>
        <w:t xml:space="preserve">praktycznie </w:t>
      </w:r>
      <w:r w:rsidR="0067749A" w:rsidRPr="00541932">
        <w:rPr>
          <w:rFonts w:ascii="Times New Roman" w:hAnsi="Times New Roman" w:cs="Times New Roman"/>
          <w:sz w:val="24"/>
          <w:szCs w:val="24"/>
        </w:rPr>
        <w:t>identyczne (po 50,0%). W</w:t>
      </w:r>
      <w:r w:rsidRPr="00541932">
        <w:rPr>
          <w:rFonts w:ascii="Times New Roman" w:hAnsi="Times New Roman" w:cs="Times New Roman"/>
          <w:sz w:val="24"/>
          <w:szCs w:val="24"/>
        </w:rPr>
        <w:t>śród dojeżdż</w:t>
      </w:r>
      <w:r w:rsidR="00C65A24" w:rsidRPr="00541932">
        <w:rPr>
          <w:rFonts w:ascii="Times New Roman" w:hAnsi="Times New Roman" w:cs="Times New Roman"/>
          <w:sz w:val="24"/>
          <w:szCs w:val="24"/>
        </w:rPr>
        <w:t>ając</w:t>
      </w:r>
      <w:r w:rsidRPr="00541932">
        <w:rPr>
          <w:rFonts w:ascii="Times New Roman" w:hAnsi="Times New Roman" w:cs="Times New Roman"/>
          <w:sz w:val="24"/>
          <w:szCs w:val="24"/>
        </w:rPr>
        <w:t>y</w:t>
      </w:r>
      <w:r w:rsidR="00837381" w:rsidRPr="00541932">
        <w:rPr>
          <w:rFonts w:ascii="Times New Roman" w:hAnsi="Times New Roman" w:cs="Times New Roman"/>
          <w:sz w:val="24"/>
          <w:szCs w:val="24"/>
        </w:rPr>
        <w:t xml:space="preserve">ch mieszkańców miast </w:t>
      </w:r>
      <w:r w:rsidR="00A2350A">
        <w:rPr>
          <w:rFonts w:ascii="Times New Roman" w:hAnsi="Times New Roman" w:cs="Times New Roman"/>
          <w:sz w:val="24"/>
          <w:szCs w:val="24"/>
        </w:rPr>
        <w:br/>
      </w:r>
      <w:r w:rsidR="00837381" w:rsidRPr="00541932">
        <w:rPr>
          <w:rFonts w:ascii="Times New Roman" w:hAnsi="Times New Roman" w:cs="Times New Roman"/>
          <w:sz w:val="24"/>
          <w:szCs w:val="24"/>
        </w:rPr>
        <w:t>2672</w:t>
      </w:r>
      <w:r w:rsidR="00FB451F" w:rsidRPr="00541932">
        <w:rPr>
          <w:rFonts w:ascii="Times New Roman" w:hAnsi="Times New Roman" w:cs="Times New Roman"/>
          <w:sz w:val="24"/>
          <w:szCs w:val="24"/>
        </w:rPr>
        <w:t>,1 tys.</w:t>
      </w:r>
      <w:r w:rsidR="00837381" w:rsidRPr="00541932">
        <w:rPr>
          <w:rFonts w:ascii="Times New Roman" w:hAnsi="Times New Roman" w:cs="Times New Roman"/>
          <w:sz w:val="24"/>
          <w:szCs w:val="24"/>
        </w:rPr>
        <w:t xml:space="preserve"> (45,5</w:t>
      </w:r>
      <w:r w:rsidRPr="00541932">
        <w:rPr>
          <w:rFonts w:ascii="Times New Roman" w:hAnsi="Times New Roman" w:cs="Times New Roman"/>
          <w:sz w:val="24"/>
          <w:szCs w:val="24"/>
        </w:rPr>
        <w:t xml:space="preserve">%) stanowiły kobiety. Na wsi ich </w:t>
      </w:r>
      <w:r w:rsidR="00F7311F" w:rsidRPr="00541932">
        <w:rPr>
          <w:rFonts w:ascii="Times New Roman" w:hAnsi="Times New Roman" w:cs="Times New Roman"/>
          <w:sz w:val="24"/>
          <w:szCs w:val="24"/>
        </w:rPr>
        <w:t>udział</w:t>
      </w:r>
      <w:r w:rsidR="00837381" w:rsidRPr="00541932">
        <w:rPr>
          <w:rFonts w:ascii="Times New Roman" w:hAnsi="Times New Roman" w:cs="Times New Roman"/>
          <w:sz w:val="24"/>
          <w:szCs w:val="24"/>
        </w:rPr>
        <w:t xml:space="preserve"> był nieco mniejszy i wyniósł 43,2</w:t>
      </w:r>
      <w:r w:rsidRPr="00541932">
        <w:rPr>
          <w:rFonts w:ascii="Times New Roman" w:hAnsi="Times New Roman" w:cs="Times New Roman"/>
          <w:sz w:val="24"/>
          <w:szCs w:val="24"/>
        </w:rPr>
        <w:t>%.</w:t>
      </w:r>
    </w:p>
    <w:p w:rsidR="00FE626F" w:rsidRPr="00541932" w:rsidRDefault="00BD144D" w:rsidP="00541932">
      <w:pPr>
        <w:pStyle w:val="tekstgl"/>
        <w:spacing w:line="360" w:lineRule="auto"/>
        <w:ind w:firstLine="709"/>
        <w:rPr>
          <w:rFonts w:ascii="Times New Roman" w:hAnsi="Times New Roman" w:cs="Times New Roman"/>
          <w:sz w:val="24"/>
          <w:szCs w:val="24"/>
        </w:rPr>
      </w:pPr>
      <w:r w:rsidRPr="00541932">
        <w:rPr>
          <w:rFonts w:ascii="Times New Roman" w:hAnsi="Times New Roman" w:cs="Times New Roman"/>
          <w:sz w:val="24"/>
          <w:szCs w:val="24"/>
        </w:rPr>
        <w:lastRenderedPageBreak/>
        <w:t>U</w:t>
      </w:r>
      <w:r w:rsidR="00FE626F" w:rsidRPr="00541932">
        <w:rPr>
          <w:rFonts w:ascii="Times New Roman" w:hAnsi="Times New Roman" w:cs="Times New Roman"/>
          <w:sz w:val="24"/>
          <w:szCs w:val="24"/>
        </w:rPr>
        <w:t>dział osób dojeżdżających z miast w liczbie dojeżdżających ogółem oraz relację dojeżdżających z miast na 100 dojeżdżających ze wsi dla kobiet i mężczyzn według województw</w:t>
      </w:r>
      <w:r w:rsidR="00DE69B4" w:rsidRPr="00541932">
        <w:rPr>
          <w:rFonts w:ascii="Times New Roman" w:hAnsi="Times New Roman" w:cs="Times New Roman"/>
          <w:sz w:val="24"/>
          <w:szCs w:val="24"/>
        </w:rPr>
        <w:t xml:space="preserve"> ukazuje </w:t>
      </w:r>
      <w:r w:rsidR="00CB3D24">
        <w:rPr>
          <w:rFonts w:ascii="Times New Roman" w:hAnsi="Times New Roman" w:cs="Times New Roman"/>
          <w:sz w:val="24"/>
          <w:szCs w:val="24"/>
        </w:rPr>
        <w:t>poniższa mapa</w:t>
      </w:r>
      <w:r w:rsidR="00FE626F" w:rsidRPr="00541932">
        <w:rPr>
          <w:rFonts w:ascii="Times New Roman" w:hAnsi="Times New Roman" w:cs="Times New Roman"/>
          <w:sz w:val="24"/>
          <w:szCs w:val="24"/>
        </w:rPr>
        <w:t>.</w:t>
      </w:r>
      <w:r w:rsidR="001328C0" w:rsidRPr="00541932">
        <w:rPr>
          <w:rFonts w:ascii="Times New Roman" w:hAnsi="Times New Roman" w:cs="Times New Roman"/>
          <w:sz w:val="24"/>
          <w:szCs w:val="24"/>
        </w:rPr>
        <w:t xml:space="preserve"> Warto zauważyć, że </w:t>
      </w:r>
      <w:r w:rsidR="00C7572E" w:rsidRPr="00541932">
        <w:rPr>
          <w:rFonts w:ascii="Times New Roman" w:hAnsi="Times New Roman" w:cs="Times New Roman"/>
          <w:sz w:val="24"/>
          <w:szCs w:val="24"/>
        </w:rPr>
        <w:t xml:space="preserve">w niektórych przypadkach – </w:t>
      </w:r>
      <w:r w:rsidR="00A2350A">
        <w:rPr>
          <w:rFonts w:ascii="Times New Roman" w:hAnsi="Times New Roman" w:cs="Times New Roman"/>
          <w:sz w:val="24"/>
          <w:szCs w:val="24"/>
        </w:rPr>
        <w:br/>
      </w:r>
      <w:r w:rsidR="001328C0" w:rsidRPr="00541932">
        <w:rPr>
          <w:rFonts w:ascii="Times New Roman" w:hAnsi="Times New Roman" w:cs="Times New Roman"/>
          <w:sz w:val="24"/>
          <w:szCs w:val="24"/>
        </w:rPr>
        <w:t xml:space="preserve">np. </w:t>
      </w:r>
      <w:r w:rsidR="003F6507">
        <w:rPr>
          <w:rFonts w:ascii="Times New Roman" w:hAnsi="Times New Roman" w:cs="Times New Roman"/>
          <w:sz w:val="24"/>
          <w:szCs w:val="24"/>
        </w:rPr>
        <w:t>w </w:t>
      </w:r>
      <w:r w:rsidR="00C7572E" w:rsidRPr="00541932">
        <w:rPr>
          <w:rFonts w:ascii="Times New Roman" w:hAnsi="Times New Roman" w:cs="Times New Roman"/>
          <w:sz w:val="24"/>
          <w:szCs w:val="24"/>
        </w:rPr>
        <w:t xml:space="preserve">województwach: zachodniopomorskim, pomorskim czy </w:t>
      </w:r>
      <w:r w:rsidR="001328C0" w:rsidRPr="00541932">
        <w:rPr>
          <w:rFonts w:ascii="Times New Roman" w:hAnsi="Times New Roman" w:cs="Times New Roman"/>
          <w:sz w:val="24"/>
          <w:szCs w:val="24"/>
        </w:rPr>
        <w:t xml:space="preserve">w </w:t>
      </w:r>
      <w:r w:rsidR="00C539ED" w:rsidRPr="00541932">
        <w:rPr>
          <w:rFonts w:ascii="Times New Roman" w:hAnsi="Times New Roman" w:cs="Times New Roman"/>
          <w:sz w:val="24"/>
          <w:szCs w:val="24"/>
        </w:rPr>
        <w:t>opolski</w:t>
      </w:r>
      <w:r w:rsidR="001328C0" w:rsidRPr="00541932">
        <w:rPr>
          <w:rFonts w:ascii="Times New Roman" w:hAnsi="Times New Roman" w:cs="Times New Roman"/>
          <w:sz w:val="24"/>
          <w:szCs w:val="24"/>
        </w:rPr>
        <w:t xml:space="preserve">m </w:t>
      </w:r>
      <w:r w:rsidR="009504F3" w:rsidRPr="00541932">
        <w:rPr>
          <w:rFonts w:ascii="Times New Roman" w:hAnsi="Times New Roman" w:cs="Times New Roman"/>
          <w:sz w:val="24"/>
          <w:szCs w:val="24"/>
        </w:rPr>
        <w:t xml:space="preserve">– </w:t>
      </w:r>
      <w:r w:rsidR="001328C0" w:rsidRPr="00541932">
        <w:rPr>
          <w:rFonts w:ascii="Times New Roman" w:hAnsi="Times New Roman" w:cs="Times New Roman"/>
          <w:sz w:val="24"/>
          <w:szCs w:val="24"/>
        </w:rPr>
        <w:t>płeć istotnie różnicowała dojeżdżanie do pracy w zależności od miejsc</w:t>
      </w:r>
      <w:r w:rsidR="001C75DB" w:rsidRPr="00541932">
        <w:rPr>
          <w:rFonts w:ascii="Times New Roman" w:hAnsi="Times New Roman" w:cs="Times New Roman"/>
          <w:sz w:val="24"/>
          <w:szCs w:val="24"/>
        </w:rPr>
        <w:t>a</w:t>
      </w:r>
      <w:r w:rsidR="001328C0" w:rsidRPr="00541932">
        <w:rPr>
          <w:rFonts w:ascii="Times New Roman" w:hAnsi="Times New Roman" w:cs="Times New Roman"/>
          <w:sz w:val="24"/>
          <w:szCs w:val="24"/>
        </w:rPr>
        <w:t xml:space="preserve"> zamieszkania.</w:t>
      </w:r>
    </w:p>
    <w:p w:rsidR="00CB3D24" w:rsidRDefault="00CB3D24" w:rsidP="00607B29">
      <w:pPr>
        <w:keepNext/>
        <w:spacing w:after="0"/>
        <w:jc w:val="both"/>
        <w:rPr>
          <w:rFonts w:ascii="Times New Roman" w:hAnsi="Times New Roman" w:cs="Times New Roman"/>
          <w:b/>
          <w:sz w:val="20"/>
          <w:szCs w:val="20"/>
        </w:rPr>
      </w:pPr>
    </w:p>
    <w:p w:rsidR="004E5164" w:rsidRPr="00541932" w:rsidRDefault="00D55B40" w:rsidP="003120DD">
      <w:pPr>
        <w:keepNext/>
        <w:spacing w:after="0"/>
        <w:ind w:left="993" w:hanging="993"/>
        <w:jc w:val="both"/>
        <w:rPr>
          <w:rFonts w:ascii="Times New Roman" w:hAnsi="Times New Roman" w:cs="Times New Roman"/>
          <w:b/>
          <w:sz w:val="20"/>
          <w:szCs w:val="20"/>
        </w:rPr>
      </w:pPr>
      <w:r>
        <w:rPr>
          <w:rFonts w:ascii="Times New Roman" w:hAnsi="Times New Roman" w:cs="Times New Roman"/>
          <w:b/>
          <w:sz w:val="20"/>
          <w:szCs w:val="20"/>
        </w:rPr>
        <w:t>Mapa 1</w:t>
      </w:r>
      <w:r w:rsidR="004E5164" w:rsidRPr="00541932">
        <w:rPr>
          <w:rFonts w:ascii="Times New Roman" w:hAnsi="Times New Roman" w:cs="Times New Roman"/>
          <w:b/>
          <w:sz w:val="20"/>
          <w:szCs w:val="20"/>
        </w:rPr>
        <w:t xml:space="preserve">.  Dojeżdżający z miast na 100 dojeżdżających ze wsi według płci oraz </w:t>
      </w:r>
      <w:r w:rsidR="00F7311F" w:rsidRPr="00541932">
        <w:rPr>
          <w:rFonts w:ascii="Times New Roman" w:hAnsi="Times New Roman" w:cs="Times New Roman"/>
          <w:b/>
          <w:sz w:val="20"/>
          <w:szCs w:val="20"/>
        </w:rPr>
        <w:t>udział</w:t>
      </w:r>
      <w:r w:rsidR="004E5164" w:rsidRPr="00541932">
        <w:rPr>
          <w:rFonts w:ascii="Times New Roman" w:hAnsi="Times New Roman" w:cs="Times New Roman"/>
          <w:b/>
          <w:sz w:val="20"/>
          <w:szCs w:val="20"/>
        </w:rPr>
        <w:t xml:space="preserve"> </w:t>
      </w:r>
      <w:r w:rsidR="003120DD">
        <w:rPr>
          <w:rFonts w:ascii="Times New Roman" w:hAnsi="Times New Roman" w:cs="Times New Roman"/>
          <w:b/>
          <w:sz w:val="20"/>
          <w:szCs w:val="20"/>
        </w:rPr>
        <w:t>dojeżdżających z </w:t>
      </w:r>
      <w:r w:rsidR="004E5164" w:rsidRPr="00541932">
        <w:rPr>
          <w:rFonts w:ascii="Times New Roman" w:hAnsi="Times New Roman" w:cs="Times New Roman"/>
          <w:b/>
          <w:sz w:val="20"/>
          <w:szCs w:val="20"/>
        </w:rPr>
        <w:t xml:space="preserve">miast </w:t>
      </w:r>
      <w:r w:rsidR="00F7311F" w:rsidRPr="00541932">
        <w:rPr>
          <w:rFonts w:ascii="Times New Roman" w:hAnsi="Times New Roman" w:cs="Times New Roman"/>
          <w:b/>
          <w:sz w:val="20"/>
          <w:szCs w:val="20"/>
        </w:rPr>
        <w:t>w ogólnej ich liczbie</w:t>
      </w:r>
    </w:p>
    <w:p w:rsidR="00762EDC" w:rsidRPr="0024503A" w:rsidRDefault="00762EDC" w:rsidP="006A19A2">
      <w:pPr>
        <w:keepNext/>
        <w:spacing w:after="100"/>
        <w:jc w:val="center"/>
        <w:rPr>
          <w:rFonts w:asciiTheme="majorHAnsi" w:hAnsiTheme="majorHAnsi"/>
        </w:rPr>
      </w:pPr>
    </w:p>
    <w:p w:rsidR="00541932" w:rsidRDefault="00541932" w:rsidP="00541932">
      <w:pPr>
        <w:pStyle w:val="tekstgl"/>
        <w:spacing w:before="100" w:line="360" w:lineRule="auto"/>
        <w:ind w:firstLine="709"/>
        <w:rPr>
          <w:rFonts w:ascii="Times New Roman" w:hAnsi="Times New Roman" w:cs="Times New Roman"/>
          <w:sz w:val="24"/>
          <w:szCs w:val="24"/>
        </w:rPr>
      </w:pPr>
      <w:r>
        <w:rPr>
          <w:noProof/>
          <w:lang w:eastAsia="pl-PL"/>
        </w:rPr>
        <w:drawing>
          <wp:inline distT="0" distB="0" distL="0" distR="0">
            <wp:extent cx="4842870" cy="4904102"/>
            <wp:effectExtent l="19050" t="0" r="0" b="0"/>
            <wp:docPr id="6" name="Obraz 23" descr="map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pa1.jpg"/>
                    <pic:cNvPicPr/>
                  </pic:nvPicPr>
                  <pic:blipFill>
                    <a:blip r:embed="rId11" cstate="print"/>
                    <a:srcRect b="28391"/>
                    <a:stretch>
                      <a:fillRect/>
                    </a:stretch>
                  </pic:blipFill>
                  <pic:spPr>
                    <a:xfrm>
                      <a:off x="0" y="0"/>
                      <a:ext cx="4845333" cy="4906596"/>
                    </a:xfrm>
                    <a:prstGeom prst="rect">
                      <a:avLst/>
                    </a:prstGeom>
                  </pic:spPr>
                </pic:pic>
              </a:graphicData>
            </a:graphic>
          </wp:inline>
        </w:drawing>
      </w:r>
    </w:p>
    <w:p w:rsidR="001C4CBD" w:rsidRPr="00541932" w:rsidRDefault="00EB1F41" w:rsidP="00541932">
      <w:pPr>
        <w:pStyle w:val="tekstgl"/>
        <w:spacing w:after="0" w:line="360" w:lineRule="auto"/>
        <w:ind w:firstLine="709"/>
        <w:rPr>
          <w:rFonts w:ascii="Times New Roman" w:hAnsi="Times New Roman" w:cs="Times New Roman"/>
          <w:sz w:val="24"/>
          <w:szCs w:val="24"/>
        </w:rPr>
      </w:pPr>
      <w:r w:rsidRPr="00541932">
        <w:rPr>
          <w:rFonts w:ascii="Times New Roman" w:hAnsi="Times New Roman" w:cs="Times New Roman"/>
          <w:sz w:val="24"/>
          <w:szCs w:val="24"/>
        </w:rPr>
        <w:t>Rozpatrując kwestię dojazdów</w:t>
      </w:r>
      <w:r w:rsidR="00C67EC7" w:rsidRPr="00541932">
        <w:rPr>
          <w:rFonts w:ascii="Times New Roman" w:hAnsi="Times New Roman" w:cs="Times New Roman"/>
          <w:sz w:val="24"/>
          <w:szCs w:val="24"/>
        </w:rPr>
        <w:t xml:space="preserve"> do pracy w zale</w:t>
      </w:r>
      <w:r w:rsidRPr="00541932">
        <w:rPr>
          <w:rFonts w:ascii="Times New Roman" w:hAnsi="Times New Roman" w:cs="Times New Roman"/>
          <w:sz w:val="24"/>
          <w:szCs w:val="24"/>
        </w:rPr>
        <w:t xml:space="preserve">żności od miejsca zamieszkania warto uwzględnić </w:t>
      </w:r>
      <w:r w:rsidR="00C67EC7" w:rsidRPr="00541932">
        <w:rPr>
          <w:rFonts w:ascii="Times New Roman" w:hAnsi="Times New Roman" w:cs="Times New Roman"/>
          <w:sz w:val="24"/>
          <w:szCs w:val="24"/>
        </w:rPr>
        <w:t>także lokaliza</w:t>
      </w:r>
      <w:r w:rsidRPr="00541932">
        <w:rPr>
          <w:rFonts w:ascii="Times New Roman" w:hAnsi="Times New Roman" w:cs="Times New Roman"/>
          <w:sz w:val="24"/>
          <w:szCs w:val="24"/>
        </w:rPr>
        <w:t>cję</w:t>
      </w:r>
      <w:r w:rsidR="00C67EC7" w:rsidRPr="00541932">
        <w:rPr>
          <w:rFonts w:ascii="Times New Roman" w:hAnsi="Times New Roman" w:cs="Times New Roman"/>
          <w:sz w:val="24"/>
          <w:szCs w:val="24"/>
        </w:rPr>
        <w:t xml:space="preserve"> celu</w:t>
      </w:r>
      <w:r w:rsidR="006776E7" w:rsidRPr="00541932">
        <w:rPr>
          <w:rFonts w:ascii="Times New Roman" w:hAnsi="Times New Roman" w:cs="Times New Roman"/>
          <w:sz w:val="24"/>
          <w:szCs w:val="24"/>
        </w:rPr>
        <w:t xml:space="preserve"> owych dojazdów</w:t>
      </w:r>
      <w:r w:rsidR="00610A4D" w:rsidRPr="00541932">
        <w:rPr>
          <w:rFonts w:ascii="Times New Roman" w:hAnsi="Times New Roman" w:cs="Times New Roman"/>
          <w:sz w:val="24"/>
          <w:szCs w:val="24"/>
        </w:rPr>
        <w:t>, tj. głównego miejsca pracy</w:t>
      </w:r>
      <w:r w:rsidRPr="00541932">
        <w:rPr>
          <w:rFonts w:ascii="Times New Roman" w:hAnsi="Times New Roman" w:cs="Times New Roman"/>
          <w:sz w:val="24"/>
          <w:szCs w:val="24"/>
        </w:rPr>
        <w:t xml:space="preserve"> w kontekście przepływów </w:t>
      </w:r>
      <w:r w:rsidR="007D1DD1" w:rsidRPr="00541932">
        <w:rPr>
          <w:rFonts w:ascii="Times New Roman" w:hAnsi="Times New Roman" w:cs="Times New Roman"/>
          <w:sz w:val="24"/>
          <w:szCs w:val="24"/>
        </w:rPr>
        <w:t xml:space="preserve">pracujących </w:t>
      </w:r>
      <w:r w:rsidRPr="00541932">
        <w:rPr>
          <w:rFonts w:ascii="Times New Roman" w:hAnsi="Times New Roman" w:cs="Times New Roman"/>
          <w:sz w:val="24"/>
          <w:szCs w:val="24"/>
        </w:rPr>
        <w:t>między miastem a terenami wiejskimi</w:t>
      </w:r>
      <w:r w:rsidR="00610A4D" w:rsidRPr="00541932">
        <w:rPr>
          <w:rFonts w:ascii="Times New Roman" w:hAnsi="Times New Roman" w:cs="Times New Roman"/>
          <w:sz w:val="24"/>
          <w:szCs w:val="24"/>
        </w:rPr>
        <w:t>.</w:t>
      </w:r>
      <w:r w:rsidR="00C67EC7" w:rsidRPr="00541932">
        <w:rPr>
          <w:rFonts w:ascii="Times New Roman" w:hAnsi="Times New Roman" w:cs="Times New Roman"/>
          <w:sz w:val="24"/>
          <w:szCs w:val="24"/>
        </w:rPr>
        <w:t xml:space="preserve"> </w:t>
      </w:r>
      <w:r w:rsidR="00A50B40" w:rsidRPr="00541932">
        <w:rPr>
          <w:rFonts w:ascii="Times New Roman" w:hAnsi="Times New Roman" w:cs="Times New Roman"/>
          <w:sz w:val="24"/>
          <w:szCs w:val="24"/>
        </w:rPr>
        <w:t>R</w:t>
      </w:r>
      <w:r w:rsidRPr="00541932">
        <w:rPr>
          <w:rFonts w:ascii="Times New Roman" w:hAnsi="Times New Roman" w:cs="Times New Roman"/>
          <w:sz w:val="24"/>
          <w:szCs w:val="24"/>
        </w:rPr>
        <w:t>elację osób dojeżdżających do pracy z miasta na wieś w stosunku do liczby dojeżdżających do pracy ze wsi do miasta</w:t>
      </w:r>
      <w:r w:rsidR="00A50B40" w:rsidRPr="00541932">
        <w:rPr>
          <w:rFonts w:ascii="Times New Roman" w:hAnsi="Times New Roman" w:cs="Times New Roman"/>
          <w:sz w:val="24"/>
          <w:szCs w:val="24"/>
        </w:rPr>
        <w:t xml:space="preserve"> </w:t>
      </w:r>
      <w:r w:rsidR="000A4293" w:rsidRPr="00541932">
        <w:rPr>
          <w:rFonts w:ascii="Times New Roman" w:hAnsi="Times New Roman" w:cs="Times New Roman"/>
          <w:sz w:val="24"/>
          <w:szCs w:val="24"/>
        </w:rPr>
        <w:t>o</w:t>
      </w:r>
      <w:r w:rsidR="00A50B40" w:rsidRPr="00541932">
        <w:rPr>
          <w:rFonts w:ascii="Times New Roman" w:hAnsi="Times New Roman" w:cs="Times New Roman"/>
          <w:sz w:val="24"/>
          <w:szCs w:val="24"/>
        </w:rPr>
        <w:t>brazuje</w:t>
      </w:r>
      <w:r w:rsidR="00CB3D24">
        <w:rPr>
          <w:rFonts w:ascii="Times New Roman" w:hAnsi="Times New Roman" w:cs="Times New Roman"/>
          <w:sz w:val="24"/>
          <w:szCs w:val="24"/>
        </w:rPr>
        <w:t xml:space="preserve"> </w:t>
      </w:r>
      <w:r w:rsidR="00A50B40" w:rsidRPr="00CB3D24">
        <w:rPr>
          <w:rFonts w:ascii="Times New Roman" w:hAnsi="Times New Roman" w:cs="Times New Roman"/>
          <w:sz w:val="24"/>
          <w:szCs w:val="24"/>
        </w:rPr>
        <w:t>wykres</w:t>
      </w:r>
      <w:r w:rsidR="00871E11">
        <w:rPr>
          <w:rFonts w:ascii="Times New Roman" w:hAnsi="Times New Roman" w:cs="Times New Roman"/>
          <w:sz w:val="24"/>
          <w:szCs w:val="24"/>
        </w:rPr>
        <w:t xml:space="preserve"> 6.2.</w:t>
      </w:r>
      <w:r w:rsidRPr="00541932">
        <w:rPr>
          <w:rFonts w:ascii="Times New Roman" w:hAnsi="Times New Roman" w:cs="Times New Roman"/>
          <w:sz w:val="24"/>
          <w:szCs w:val="24"/>
        </w:rPr>
        <w:t xml:space="preserve">  Dane te dotyczą tylko osób dojeżdżających do pracy na terytorium Polski.</w:t>
      </w:r>
    </w:p>
    <w:p w:rsidR="00607B29" w:rsidRPr="00541932" w:rsidRDefault="00EB1F41" w:rsidP="00607B29">
      <w:pPr>
        <w:keepNext/>
        <w:spacing w:after="0"/>
        <w:jc w:val="both"/>
        <w:rPr>
          <w:rFonts w:ascii="Times New Roman" w:hAnsi="Times New Roman" w:cs="Times New Roman"/>
          <w:b/>
          <w:sz w:val="20"/>
          <w:szCs w:val="20"/>
        </w:rPr>
      </w:pPr>
      <w:r w:rsidRPr="00541932">
        <w:rPr>
          <w:rFonts w:ascii="Times New Roman" w:hAnsi="Times New Roman" w:cs="Times New Roman"/>
          <w:b/>
          <w:sz w:val="20"/>
          <w:szCs w:val="20"/>
        </w:rPr>
        <w:lastRenderedPageBreak/>
        <w:t xml:space="preserve">Wykres </w:t>
      </w:r>
      <w:r w:rsidR="00D55B40">
        <w:rPr>
          <w:rFonts w:ascii="Times New Roman" w:hAnsi="Times New Roman" w:cs="Times New Roman"/>
          <w:b/>
          <w:sz w:val="20"/>
          <w:szCs w:val="20"/>
        </w:rPr>
        <w:t>6</w:t>
      </w:r>
      <w:r w:rsidR="0029666D">
        <w:rPr>
          <w:rFonts w:ascii="Times New Roman" w:hAnsi="Times New Roman" w:cs="Times New Roman"/>
          <w:b/>
          <w:sz w:val="20"/>
          <w:szCs w:val="20"/>
        </w:rPr>
        <w:t>.2</w:t>
      </w:r>
      <w:r w:rsidRPr="00541932">
        <w:rPr>
          <w:rFonts w:ascii="Times New Roman" w:hAnsi="Times New Roman" w:cs="Times New Roman"/>
          <w:b/>
          <w:sz w:val="20"/>
          <w:szCs w:val="20"/>
        </w:rPr>
        <w:t xml:space="preserve">.  Dojeżdżający do pracy z miasta na wieś na 100 dojeżdżających do pracy ze wsi </w:t>
      </w:r>
    </w:p>
    <w:p w:rsidR="00EB1F41" w:rsidRPr="00541932" w:rsidRDefault="00EB1F41" w:rsidP="00607B29">
      <w:pPr>
        <w:keepNext/>
        <w:spacing w:after="100"/>
        <w:ind w:left="709" w:firstLine="425"/>
        <w:jc w:val="both"/>
        <w:rPr>
          <w:rFonts w:ascii="Times New Roman" w:hAnsi="Times New Roman" w:cs="Times New Roman"/>
          <w:b/>
          <w:sz w:val="20"/>
          <w:szCs w:val="20"/>
        </w:rPr>
      </w:pPr>
      <w:r w:rsidRPr="00541932">
        <w:rPr>
          <w:rFonts w:ascii="Times New Roman" w:hAnsi="Times New Roman" w:cs="Times New Roman"/>
          <w:b/>
          <w:sz w:val="20"/>
          <w:szCs w:val="20"/>
        </w:rPr>
        <w:t>do miasta ogółem</w:t>
      </w:r>
      <w:r w:rsidR="002E6B23" w:rsidRPr="00541932">
        <w:rPr>
          <w:rFonts w:ascii="Times New Roman" w:hAnsi="Times New Roman" w:cs="Times New Roman"/>
          <w:b/>
          <w:sz w:val="20"/>
          <w:szCs w:val="20"/>
        </w:rPr>
        <w:t xml:space="preserve"> według województw</w:t>
      </w:r>
    </w:p>
    <w:p w:rsidR="00610A4D" w:rsidRDefault="00F11769" w:rsidP="000642CF">
      <w:pPr>
        <w:pStyle w:val="tekstgl"/>
        <w:spacing w:before="100"/>
        <w:ind w:firstLine="0"/>
      </w:pPr>
      <w:r>
        <w:rPr>
          <w:noProof/>
          <w:lang w:eastAsia="pl-PL"/>
        </w:rPr>
        <w:drawing>
          <wp:inline distT="0" distB="0" distL="0" distR="0">
            <wp:extent cx="5762625" cy="4924425"/>
            <wp:effectExtent l="0" t="0" r="0" b="0"/>
            <wp:docPr id="13"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A1E60" w:rsidRPr="00541932" w:rsidRDefault="00D478C2" w:rsidP="00541932">
      <w:pPr>
        <w:pStyle w:val="tekstgl"/>
        <w:spacing w:after="0" w:line="360" w:lineRule="auto"/>
        <w:ind w:firstLine="567"/>
        <w:rPr>
          <w:rFonts w:ascii="Times New Roman" w:hAnsi="Times New Roman" w:cs="Times New Roman"/>
          <w:sz w:val="24"/>
          <w:szCs w:val="24"/>
        </w:rPr>
      </w:pPr>
      <w:r w:rsidRPr="00541932">
        <w:rPr>
          <w:rFonts w:ascii="Times New Roman" w:hAnsi="Times New Roman" w:cs="Times New Roman"/>
          <w:sz w:val="24"/>
          <w:szCs w:val="24"/>
        </w:rPr>
        <w:t>Więcej osób dojeżdża zatem z</w:t>
      </w:r>
      <w:r w:rsidR="008E2EED" w:rsidRPr="00541932">
        <w:rPr>
          <w:rFonts w:ascii="Times New Roman" w:hAnsi="Times New Roman" w:cs="Times New Roman"/>
          <w:sz w:val="24"/>
          <w:szCs w:val="24"/>
        </w:rPr>
        <w:t>e</w:t>
      </w:r>
      <w:r w:rsidRPr="00541932">
        <w:rPr>
          <w:rFonts w:ascii="Times New Roman" w:hAnsi="Times New Roman" w:cs="Times New Roman"/>
          <w:sz w:val="24"/>
          <w:szCs w:val="24"/>
        </w:rPr>
        <w:t xml:space="preserve"> wsi do miasta niż z miasta na wieś</w:t>
      </w:r>
      <w:r w:rsidR="00CC1C38" w:rsidRPr="00541932">
        <w:rPr>
          <w:rFonts w:ascii="Times New Roman" w:hAnsi="Times New Roman" w:cs="Times New Roman"/>
          <w:sz w:val="24"/>
          <w:szCs w:val="24"/>
        </w:rPr>
        <w:t>.</w:t>
      </w:r>
      <w:r w:rsidR="0029583C" w:rsidRPr="00541932">
        <w:rPr>
          <w:rFonts w:ascii="Times New Roman" w:hAnsi="Times New Roman" w:cs="Times New Roman"/>
          <w:sz w:val="24"/>
          <w:szCs w:val="24"/>
        </w:rPr>
        <w:t xml:space="preserve"> Największ</w:t>
      </w:r>
      <w:r w:rsidR="00DB3104" w:rsidRPr="00541932">
        <w:rPr>
          <w:rFonts w:ascii="Times New Roman" w:hAnsi="Times New Roman" w:cs="Times New Roman"/>
          <w:sz w:val="24"/>
          <w:szCs w:val="24"/>
        </w:rPr>
        <w:t>ą</w:t>
      </w:r>
      <w:r w:rsidR="0029583C" w:rsidRPr="00541932">
        <w:rPr>
          <w:rFonts w:ascii="Times New Roman" w:hAnsi="Times New Roman" w:cs="Times New Roman"/>
          <w:sz w:val="24"/>
          <w:szCs w:val="24"/>
        </w:rPr>
        <w:t xml:space="preserve"> przewag</w:t>
      </w:r>
      <w:r w:rsidR="00DB3104" w:rsidRPr="00541932">
        <w:rPr>
          <w:rFonts w:ascii="Times New Roman" w:hAnsi="Times New Roman" w:cs="Times New Roman"/>
          <w:sz w:val="24"/>
          <w:szCs w:val="24"/>
        </w:rPr>
        <w:t>ę</w:t>
      </w:r>
      <w:r w:rsidR="0029583C" w:rsidRPr="00541932">
        <w:rPr>
          <w:rFonts w:ascii="Times New Roman" w:hAnsi="Times New Roman" w:cs="Times New Roman"/>
          <w:sz w:val="24"/>
          <w:szCs w:val="24"/>
        </w:rPr>
        <w:t xml:space="preserve"> liczby dojeżdżających do pracy ze wsi do miasta nad l</w:t>
      </w:r>
      <w:r w:rsidR="009F1E75">
        <w:rPr>
          <w:rFonts w:ascii="Times New Roman" w:hAnsi="Times New Roman" w:cs="Times New Roman"/>
          <w:sz w:val="24"/>
          <w:szCs w:val="24"/>
        </w:rPr>
        <w:t>iczbą dojeżdżających do pracy z </w:t>
      </w:r>
      <w:r w:rsidR="0029583C" w:rsidRPr="00541932">
        <w:rPr>
          <w:rFonts w:ascii="Times New Roman" w:hAnsi="Times New Roman" w:cs="Times New Roman"/>
          <w:sz w:val="24"/>
          <w:szCs w:val="24"/>
        </w:rPr>
        <w:t xml:space="preserve">miasta na wieś </w:t>
      </w:r>
      <w:r w:rsidR="009D54D2" w:rsidRPr="00541932">
        <w:rPr>
          <w:rFonts w:ascii="Times New Roman" w:hAnsi="Times New Roman" w:cs="Times New Roman"/>
          <w:sz w:val="24"/>
          <w:szCs w:val="24"/>
        </w:rPr>
        <w:t xml:space="preserve">daje się zaobserwować w województwach o </w:t>
      </w:r>
      <w:r w:rsidR="001D666F" w:rsidRPr="00541932">
        <w:rPr>
          <w:rFonts w:ascii="Times New Roman" w:hAnsi="Times New Roman" w:cs="Times New Roman"/>
          <w:sz w:val="24"/>
          <w:szCs w:val="24"/>
        </w:rPr>
        <w:t>słabiej rozwiniętym rolnictwie (</w:t>
      </w:r>
      <w:r w:rsidR="00877024" w:rsidRPr="00541932">
        <w:rPr>
          <w:rFonts w:ascii="Times New Roman" w:hAnsi="Times New Roman" w:cs="Times New Roman"/>
          <w:sz w:val="24"/>
          <w:szCs w:val="24"/>
        </w:rPr>
        <w:t>województwa: świętokrzyskie, podkarpackie, m</w:t>
      </w:r>
      <w:r w:rsidR="001D666F" w:rsidRPr="00541932">
        <w:rPr>
          <w:rFonts w:ascii="Times New Roman" w:hAnsi="Times New Roman" w:cs="Times New Roman"/>
          <w:sz w:val="24"/>
          <w:szCs w:val="24"/>
        </w:rPr>
        <w:t>ałopolskie),</w:t>
      </w:r>
      <w:r w:rsidR="0029583C" w:rsidRPr="00541932">
        <w:rPr>
          <w:rFonts w:ascii="Times New Roman" w:hAnsi="Times New Roman" w:cs="Times New Roman"/>
          <w:sz w:val="24"/>
          <w:szCs w:val="24"/>
        </w:rPr>
        <w:t xml:space="preserve"> natomiast</w:t>
      </w:r>
      <w:r w:rsidR="001D666F" w:rsidRPr="00541932">
        <w:rPr>
          <w:rFonts w:ascii="Times New Roman" w:hAnsi="Times New Roman" w:cs="Times New Roman"/>
          <w:sz w:val="24"/>
          <w:szCs w:val="24"/>
        </w:rPr>
        <w:t xml:space="preserve"> naj</w:t>
      </w:r>
      <w:r w:rsidR="00877024" w:rsidRPr="00541932">
        <w:rPr>
          <w:rFonts w:ascii="Times New Roman" w:hAnsi="Times New Roman" w:cs="Times New Roman"/>
          <w:sz w:val="24"/>
          <w:szCs w:val="24"/>
        </w:rPr>
        <w:t>niższ</w:t>
      </w:r>
      <w:r w:rsidR="00DB3104" w:rsidRPr="00541932">
        <w:rPr>
          <w:rFonts w:ascii="Times New Roman" w:hAnsi="Times New Roman" w:cs="Times New Roman"/>
          <w:sz w:val="24"/>
          <w:szCs w:val="24"/>
        </w:rPr>
        <w:t>ą</w:t>
      </w:r>
      <w:r w:rsidR="00877024" w:rsidRPr="00541932">
        <w:rPr>
          <w:rFonts w:ascii="Times New Roman" w:hAnsi="Times New Roman" w:cs="Times New Roman"/>
          <w:sz w:val="24"/>
          <w:szCs w:val="24"/>
        </w:rPr>
        <w:t xml:space="preserve"> </w:t>
      </w:r>
      <w:r w:rsidR="001D666F" w:rsidRPr="00541932">
        <w:rPr>
          <w:rFonts w:ascii="Times New Roman" w:hAnsi="Times New Roman" w:cs="Times New Roman"/>
          <w:sz w:val="24"/>
          <w:szCs w:val="24"/>
        </w:rPr>
        <w:t xml:space="preserve">– w regionach, w których sektor rolniczy odgrywa </w:t>
      </w:r>
      <w:r w:rsidR="00E03655" w:rsidRPr="00541932">
        <w:rPr>
          <w:rFonts w:ascii="Times New Roman" w:hAnsi="Times New Roman" w:cs="Times New Roman"/>
          <w:sz w:val="24"/>
          <w:szCs w:val="24"/>
        </w:rPr>
        <w:t>istotną</w:t>
      </w:r>
      <w:r w:rsidR="001D666F" w:rsidRPr="00541932">
        <w:rPr>
          <w:rFonts w:ascii="Times New Roman" w:hAnsi="Times New Roman" w:cs="Times New Roman"/>
          <w:sz w:val="24"/>
          <w:szCs w:val="24"/>
        </w:rPr>
        <w:t xml:space="preserve"> rolę (jak np. </w:t>
      </w:r>
      <w:r w:rsidR="00877024" w:rsidRPr="00541932">
        <w:rPr>
          <w:rFonts w:ascii="Times New Roman" w:hAnsi="Times New Roman" w:cs="Times New Roman"/>
          <w:sz w:val="24"/>
          <w:szCs w:val="24"/>
        </w:rPr>
        <w:t>województwa w</w:t>
      </w:r>
      <w:r w:rsidR="001D666F" w:rsidRPr="00541932">
        <w:rPr>
          <w:rFonts w:ascii="Times New Roman" w:hAnsi="Times New Roman" w:cs="Times New Roman"/>
          <w:sz w:val="24"/>
          <w:szCs w:val="24"/>
        </w:rPr>
        <w:t>ielko</w:t>
      </w:r>
      <w:r w:rsidR="00877024" w:rsidRPr="00541932">
        <w:rPr>
          <w:rFonts w:ascii="Times New Roman" w:hAnsi="Times New Roman" w:cs="Times New Roman"/>
          <w:sz w:val="24"/>
          <w:szCs w:val="24"/>
        </w:rPr>
        <w:t>polskie czy podlaskie).</w:t>
      </w:r>
    </w:p>
    <w:p w:rsidR="00CF5EC9" w:rsidRDefault="00CD2AB6" w:rsidP="00541932">
      <w:pPr>
        <w:pStyle w:val="tekstgl"/>
        <w:spacing w:after="0" w:line="360" w:lineRule="auto"/>
        <w:ind w:firstLine="709"/>
        <w:rPr>
          <w:rFonts w:ascii="Times New Roman" w:hAnsi="Times New Roman" w:cs="Times New Roman"/>
          <w:sz w:val="24"/>
          <w:szCs w:val="24"/>
        </w:rPr>
      </w:pPr>
      <w:r w:rsidRPr="00541932">
        <w:rPr>
          <w:rFonts w:ascii="Times New Roman" w:hAnsi="Times New Roman" w:cs="Times New Roman"/>
          <w:sz w:val="24"/>
          <w:szCs w:val="24"/>
        </w:rPr>
        <w:t>Wśród</w:t>
      </w:r>
      <w:r w:rsidR="00BD4B3D" w:rsidRPr="00541932">
        <w:rPr>
          <w:rFonts w:ascii="Times New Roman" w:hAnsi="Times New Roman" w:cs="Times New Roman"/>
          <w:sz w:val="24"/>
          <w:szCs w:val="24"/>
        </w:rPr>
        <w:t xml:space="preserve"> os</w:t>
      </w:r>
      <w:r w:rsidR="001715DA" w:rsidRPr="00541932">
        <w:rPr>
          <w:rFonts w:ascii="Times New Roman" w:hAnsi="Times New Roman" w:cs="Times New Roman"/>
          <w:sz w:val="24"/>
          <w:szCs w:val="24"/>
        </w:rPr>
        <w:t>ó</w:t>
      </w:r>
      <w:r w:rsidR="00BD4B3D" w:rsidRPr="00541932">
        <w:rPr>
          <w:rFonts w:ascii="Times New Roman" w:hAnsi="Times New Roman" w:cs="Times New Roman"/>
          <w:sz w:val="24"/>
          <w:szCs w:val="24"/>
        </w:rPr>
        <w:t xml:space="preserve">b </w:t>
      </w:r>
      <w:r w:rsidR="001715DA" w:rsidRPr="00541932">
        <w:rPr>
          <w:rFonts w:ascii="Times New Roman" w:hAnsi="Times New Roman" w:cs="Times New Roman"/>
          <w:sz w:val="24"/>
          <w:szCs w:val="24"/>
        </w:rPr>
        <w:t>d</w:t>
      </w:r>
      <w:r w:rsidR="00BD4B3D" w:rsidRPr="00541932">
        <w:rPr>
          <w:rFonts w:ascii="Times New Roman" w:hAnsi="Times New Roman" w:cs="Times New Roman"/>
          <w:sz w:val="24"/>
          <w:szCs w:val="24"/>
        </w:rPr>
        <w:t>oje</w:t>
      </w:r>
      <w:r w:rsidR="001715DA" w:rsidRPr="00541932">
        <w:rPr>
          <w:rFonts w:ascii="Times New Roman" w:hAnsi="Times New Roman" w:cs="Times New Roman"/>
          <w:sz w:val="24"/>
          <w:szCs w:val="24"/>
        </w:rPr>
        <w:t>ż</w:t>
      </w:r>
      <w:r w:rsidR="00BD4B3D" w:rsidRPr="00541932">
        <w:rPr>
          <w:rFonts w:ascii="Times New Roman" w:hAnsi="Times New Roman" w:cs="Times New Roman"/>
          <w:sz w:val="24"/>
          <w:szCs w:val="24"/>
        </w:rPr>
        <w:t>d</w:t>
      </w:r>
      <w:r w:rsidR="001715DA" w:rsidRPr="00541932">
        <w:rPr>
          <w:rFonts w:ascii="Times New Roman" w:hAnsi="Times New Roman" w:cs="Times New Roman"/>
          <w:sz w:val="24"/>
          <w:szCs w:val="24"/>
        </w:rPr>
        <w:t>ż</w:t>
      </w:r>
      <w:r w:rsidR="00BD4B3D" w:rsidRPr="00541932">
        <w:rPr>
          <w:rFonts w:ascii="Times New Roman" w:hAnsi="Times New Roman" w:cs="Times New Roman"/>
          <w:sz w:val="24"/>
          <w:szCs w:val="24"/>
        </w:rPr>
        <w:t>aj</w:t>
      </w:r>
      <w:r w:rsidR="001715DA" w:rsidRPr="00541932">
        <w:rPr>
          <w:rFonts w:ascii="Times New Roman" w:hAnsi="Times New Roman" w:cs="Times New Roman"/>
          <w:sz w:val="24"/>
          <w:szCs w:val="24"/>
        </w:rPr>
        <w:t>ąc</w:t>
      </w:r>
      <w:r w:rsidR="00BD4B3D" w:rsidRPr="00541932">
        <w:rPr>
          <w:rFonts w:ascii="Times New Roman" w:hAnsi="Times New Roman" w:cs="Times New Roman"/>
          <w:sz w:val="24"/>
          <w:szCs w:val="24"/>
        </w:rPr>
        <w:t>ych do</w:t>
      </w:r>
      <w:r w:rsidR="00AB55FF" w:rsidRPr="00541932">
        <w:rPr>
          <w:rFonts w:ascii="Times New Roman" w:hAnsi="Times New Roman" w:cs="Times New Roman"/>
          <w:sz w:val="24"/>
          <w:szCs w:val="24"/>
        </w:rPr>
        <w:t xml:space="preserve"> pracy </w:t>
      </w:r>
      <w:r w:rsidR="006776E7" w:rsidRPr="00541932">
        <w:rPr>
          <w:rFonts w:ascii="Times New Roman" w:hAnsi="Times New Roman" w:cs="Times New Roman"/>
          <w:sz w:val="24"/>
          <w:szCs w:val="24"/>
        </w:rPr>
        <w:t>10</w:t>
      </w:r>
      <w:r w:rsidR="00877024" w:rsidRPr="00541932">
        <w:rPr>
          <w:rFonts w:ascii="Times New Roman" w:hAnsi="Times New Roman" w:cs="Times New Roman"/>
          <w:sz w:val="24"/>
          <w:szCs w:val="24"/>
        </w:rPr>
        <w:t>,9 tys.</w:t>
      </w:r>
      <w:r w:rsidR="006776E7" w:rsidRPr="00541932">
        <w:rPr>
          <w:rFonts w:ascii="Times New Roman" w:hAnsi="Times New Roman" w:cs="Times New Roman"/>
          <w:sz w:val="24"/>
          <w:szCs w:val="24"/>
        </w:rPr>
        <w:t xml:space="preserve"> (0,1</w:t>
      </w:r>
      <w:r w:rsidR="00BD4B3D" w:rsidRPr="00541932">
        <w:rPr>
          <w:rFonts w:ascii="Times New Roman" w:hAnsi="Times New Roman" w:cs="Times New Roman"/>
          <w:sz w:val="24"/>
          <w:szCs w:val="24"/>
        </w:rPr>
        <w:t>%) regula</w:t>
      </w:r>
      <w:r w:rsidR="001715DA" w:rsidRPr="00541932">
        <w:rPr>
          <w:rFonts w:ascii="Times New Roman" w:hAnsi="Times New Roman" w:cs="Times New Roman"/>
          <w:sz w:val="24"/>
          <w:szCs w:val="24"/>
        </w:rPr>
        <w:t>r</w:t>
      </w:r>
      <w:r w:rsidR="00BD4B3D" w:rsidRPr="00541932">
        <w:rPr>
          <w:rFonts w:ascii="Times New Roman" w:hAnsi="Times New Roman" w:cs="Times New Roman"/>
          <w:sz w:val="24"/>
          <w:szCs w:val="24"/>
        </w:rPr>
        <w:t>nie przekr</w:t>
      </w:r>
      <w:r w:rsidR="001715DA" w:rsidRPr="00541932">
        <w:rPr>
          <w:rFonts w:ascii="Times New Roman" w:hAnsi="Times New Roman" w:cs="Times New Roman"/>
          <w:sz w:val="24"/>
          <w:szCs w:val="24"/>
        </w:rPr>
        <w:t>a</w:t>
      </w:r>
      <w:r w:rsidR="00BD4B3D" w:rsidRPr="00541932">
        <w:rPr>
          <w:rFonts w:ascii="Times New Roman" w:hAnsi="Times New Roman" w:cs="Times New Roman"/>
          <w:sz w:val="24"/>
          <w:szCs w:val="24"/>
        </w:rPr>
        <w:t>cza</w:t>
      </w:r>
      <w:r w:rsidR="001715DA" w:rsidRPr="00541932">
        <w:rPr>
          <w:rFonts w:ascii="Times New Roman" w:hAnsi="Times New Roman" w:cs="Times New Roman"/>
          <w:sz w:val="24"/>
          <w:szCs w:val="24"/>
        </w:rPr>
        <w:t>ł</w:t>
      </w:r>
      <w:r w:rsidR="00BD4B3D" w:rsidRPr="00541932">
        <w:rPr>
          <w:rFonts w:ascii="Times New Roman" w:hAnsi="Times New Roman" w:cs="Times New Roman"/>
          <w:sz w:val="24"/>
          <w:szCs w:val="24"/>
        </w:rPr>
        <w:t xml:space="preserve">o </w:t>
      </w:r>
      <w:r w:rsidRPr="00541932">
        <w:rPr>
          <w:rFonts w:ascii="Times New Roman" w:hAnsi="Times New Roman" w:cs="Times New Roman"/>
          <w:sz w:val="24"/>
          <w:szCs w:val="24"/>
        </w:rPr>
        <w:t xml:space="preserve">w tym celu </w:t>
      </w:r>
      <w:r w:rsidR="00BD4B3D" w:rsidRPr="00541932">
        <w:rPr>
          <w:rFonts w:ascii="Times New Roman" w:hAnsi="Times New Roman" w:cs="Times New Roman"/>
          <w:sz w:val="24"/>
          <w:szCs w:val="24"/>
        </w:rPr>
        <w:t>granicę Pol</w:t>
      </w:r>
      <w:r w:rsidR="00D44DA8" w:rsidRPr="00541932">
        <w:rPr>
          <w:rFonts w:ascii="Times New Roman" w:hAnsi="Times New Roman" w:cs="Times New Roman"/>
          <w:sz w:val="24"/>
          <w:szCs w:val="24"/>
        </w:rPr>
        <w:t>ski</w:t>
      </w:r>
      <w:r w:rsidR="0095098C" w:rsidRPr="00541932">
        <w:rPr>
          <w:rFonts w:ascii="Times New Roman" w:hAnsi="Times New Roman" w:cs="Times New Roman"/>
          <w:sz w:val="24"/>
          <w:szCs w:val="24"/>
        </w:rPr>
        <w:t>.</w:t>
      </w:r>
      <w:r w:rsidRPr="00541932">
        <w:rPr>
          <w:rFonts w:ascii="Times New Roman" w:hAnsi="Times New Roman" w:cs="Times New Roman"/>
          <w:sz w:val="24"/>
          <w:szCs w:val="24"/>
        </w:rPr>
        <w:t xml:space="preserve"> </w:t>
      </w:r>
      <w:r w:rsidR="0084688D" w:rsidRPr="00541932">
        <w:rPr>
          <w:rFonts w:ascii="Times New Roman" w:hAnsi="Times New Roman" w:cs="Times New Roman"/>
          <w:sz w:val="24"/>
          <w:szCs w:val="24"/>
        </w:rPr>
        <w:t>Spośród 9131</w:t>
      </w:r>
      <w:r w:rsidR="00DA46F8" w:rsidRPr="00541932">
        <w:rPr>
          <w:rFonts w:ascii="Times New Roman" w:hAnsi="Times New Roman" w:cs="Times New Roman"/>
          <w:sz w:val="24"/>
          <w:szCs w:val="24"/>
        </w:rPr>
        <w:t>,</w:t>
      </w:r>
      <w:r w:rsidR="0084688D" w:rsidRPr="00541932">
        <w:rPr>
          <w:rFonts w:ascii="Times New Roman" w:hAnsi="Times New Roman" w:cs="Times New Roman"/>
          <w:sz w:val="24"/>
          <w:szCs w:val="24"/>
        </w:rPr>
        <w:t>6</w:t>
      </w:r>
      <w:r w:rsidR="00DA46F8" w:rsidRPr="00541932">
        <w:rPr>
          <w:rFonts w:ascii="Times New Roman" w:hAnsi="Times New Roman" w:cs="Times New Roman"/>
          <w:sz w:val="24"/>
          <w:szCs w:val="24"/>
        </w:rPr>
        <w:t xml:space="preserve"> tys.</w:t>
      </w:r>
      <w:r w:rsidR="0084688D" w:rsidRPr="00541932">
        <w:rPr>
          <w:rFonts w:ascii="Times New Roman" w:hAnsi="Times New Roman" w:cs="Times New Roman"/>
          <w:sz w:val="24"/>
          <w:szCs w:val="24"/>
        </w:rPr>
        <w:t xml:space="preserve"> osób dojeżdżających do pracy w granicach </w:t>
      </w:r>
      <w:r w:rsidR="001715DA" w:rsidRPr="00541932">
        <w:rPr>
          <w:rFonts w:ascii="Times New Roman" w:hAnsi="Times New Roman" w:cs="Times New Roman"/>
          <w:sz w:val="24"/>
          <w:szCs w:val="24"/>
        </w:rPr>
        <w:t>Polski</w:t>
      </w:r>
      <w:r w:rsidR="0084688D" w:rsidRPr="00541932">
        <w:rPr>
          <w:rFonts w:ascii="Times New Roman" w:hAnsi="Times New Roman" w:cs="Times New Roman"/>
          <w:sz w:val="24"/>
          <w:szCs w:val="24"/>
        </w:rPr>
        <w:t xml:space="preserve"> 8797</w:t>
      </w:r>
      <w:r w:rsidR="00326C05" w:rsidRPr="00541932">
        <w:rPr>
          <w:rFonts w:ascii="Times New Roman" w:hAnsi="Times New Roman" w:cs="Times New Roman"/>
          <w:sz w:val="24"/>
          <w:szCs w:val="24"/>
        </w:rPr>
        <w:t>,4 tys.</w:t>
      </w:r>
      <w:r w:rsidR="0084688D" w:rsidRPr="00541932">
        <w:rPr>
          <w:rFonts w:ascii="Times New Roman" w:hAnsi="Times New Roman" w:cs="Times New Roman"/>
          <w:sz w:val="24"/>
          <w:szCs w:val="24"/>
        </w:rPr>
        <w:t xml:space="preserve"> (czyli 96,3%) odbywa</w:t>
      </w:r>
      <w:r w:rsidR="00325655" w:rsidRPr="00541932">
        <w:rPr>
          <w:rFonts w:ascii="Times New Roman" w:hAnsi="Times New Roman" w:cs="Times New Roman"/>
          <w:sz w:val="24"/>
          <w:szCs w:val="24"/>
        </w:rPr>
        <w:t>ło</w:t>
      </w:r>
      <w:r w:rsidR="0084688D" w:rsidRPr="00541932">
        <w:rPr>
          <w:rFonts w:ascii="Times New Roman" w:hAnsi="Times New Roman" w:cs="Times New Roman"/>
          <w:sz w:val="24"/>
          <w:szCs w:val="24"/>
        </w:rPr>
        <w:t xml:space="preserve"> ten dojazd w </w:t>
      </w:r>
      <w:r w:rsidR="00B97FD2" w:rsidRPr="00541932">
        <w:rPr>
          <w:rFonts w:ascii="Times New Roman" w:hAnsi="Times New Roman" w:cs="Times New Roman"/>
          <w:sz w:val="24"/>
          <w:szCs w:val="24"/>
        </w:rPr>
        <w:t xml:space="preserve">obrębie </w:t>
      </w:r>
      <w:r w:rsidR="0084688D" w:rsidRPr="00541932">
        <w:rPr>
          <w:rFonts w:ascii="Times New Roman" w:hAnsi="Times New Roman" w:cs="Times New Roman"/>
          <w:sz w:val="24"/>
          <w:szCs w:val="24"/>
        </w:rPr>
        <w:t>województwa, w którym faktycznie mieszka</w:t>
      </w:r>
      <w:r w:rsidR="006B1F14" w:rsidRPr="00541932">
        <w:rPr>
          <w:rFonts w:ascii="Times New Roman" w:hAnsi="Times New Roman" w:cs="Times New Roman"/>
          <w:sz w:val="24"/>
          <w:szCs w:val="24"/>
        </w:rPr>
        <w:t>ły. 6177</w:t>
      </w:r>
      <w:r w:rsidR="00326C05" w:rsidRPr="00541932">
        <w:rPr>
          <w:rFonts w:ascii="Times New Roman" w:hAnsi="Times New Roman" w:cs="Times New Roman"/>
          <w:sz w:val="24"/>
          <w:szCs w:val="24"/>
        </w:rPr>
        <w:t>,6 tys.</w:t>
      </w:r>
      <w:r w:rsidR="0084688D" w:rsidRPr="00541932">
        <w:rPr>
          <w:rFonts w:ascii="Times New Roman" w:hAnsi="Times New Roman" w:cs="Times New Roman"/>
          <w:sz w:val="24"/>
          <w:szCs w:val="24"/>
        </w:rPr>
        <w:t xml:space="preserve"> osób (67,7%) </w:t>
      </w:r>
      <w:proofErr w:type="spellStart"/>
      <w:r w:rsidR="0084688D" w:rsidRPr="00541932">
        <w:rPr>
          <w:rFonts w:ascii="Times New Roman" w:hAnsi="Times New Roman" w:cs="Times New Roman"/>
          <w:sz w:val="24"/>
          <w:szCs w:val="24"/>
        </w:rPr>
        <w:t>nie</w:t>
      </w:r>
      <w:proofErr w:type="spellEnd"/>
      <w:r w:rsidR="0084688D" w:rsidRPr="00541932">
        <w:rPr>
          <w:rFonts w:ascii="Times New Roman" w:hAnsi="Times New Roman" w:cs="Times New Roman"/>
          <w:sz w:val="24"/>
          <w:szCs w:val="24"/>
        </w:rPr>
        <w:t xml:space="preserve"> wyjeżdża</w:t>
      </w:r>
      <w:r w:rsidR="001715DA" w:rsidRPr="00541932">
        <w:rPr>
          <w:rFonts w:ascii="Times New Roman" w:hAnsi="Times New Roman" w:cs="Times New Roman"/>
          <w:sz w:val="24"/>
          <w:szCs w:val="24"/>
        </w:rPr>
        <w:t>ło</w:t>
      </w:r>
      <w:r w:rsidR="0084688D" w:rsidRPr="00541932">
        <w:rPr>
          <w:rFonts w:ascii="Times New Roman" w:hAnsi="Times New Roman" w:cs="Times New Roman"/>
          <w:sz w:val="24"/>
          <w:szCs w:val="24"/>
        </w:rPr>
        <w:t xml:space="preserve"> poza </w:t>
      </w:r>
      <w:r w:rsidR="00326C05" w:rsidRPr="00541932">
        <w:rPr>
          <w:rFonts w:ascii="Times New Roman" w:hAnsi="Times New Roman" w:cs="Times New Roman"/>
          <w:sz w:val="24"/>
          <w:szCs w:val="24"/>
        </w:rPr>
        <w:t xml:space="preserve">powiat zamieszkania, zaś </w:t>
      </w:r>
      <w:r w:rsidR="00A2350A">
        <w:rPr>
          <w:rFonts w:ascii="Times New Roman" w:hAnsi="Times New Roman" w:cs="Times New Roman"/>
          <w:sz w:val="24"/>
          <w:szCs w:val="24"/>
        </w:rPr>
        <w:br/>
      </w:r>
      <w:r w:rsidR="00326C05" w:rsidRPr="00541932">
        <w:rPr>
          <w:rFonts w:ascii="Times New Roman" w:hAnsi="Times New Roman" w:cs="Times New Roman"/>
          <w:sz w:val="24"/>
          <w:szCs w:val="24"/>
        </w:rPr>
        <w:t>4476,0 tys.</w:t>
      </w:r>
      <w:r w:rsidR="0084688D" w:rsidRPr="00541932">
        <w:rPr>
          <w:rFonts w:ascii="Times New Roman" w:hAnsi="Times New Roman" w:cs="Times New Roman"/>
          <w:sz w:val="24"/>
          <w:szCs w:val="24"/>
        </w:rPr>
        <w:t xml:space="preserve"> (49,0%) – poza gminę. W tym ostatnim przypadku widać wi</w:t>
      </w:r>
      <w:r w:rsidR="001715DA" w:rsidRPr="00541932">
        <w:rPr>
          <w:rFonts w:ascii="Times New Roman" w:hAnsi="Times New Roman" w:cs="Times New Roman"/>
          <w:sz w:val="24"/>
          <w:szCs w:val="24"/>
        </w:rPr>
        <w:t>ęc przewagę osób, których głó</w:t>
      </w:r>
      <w:r w:rsidR="0084688D" w:rsidRPr="00541932">
        <w:rPr>
          <w:rFonts w:ascii="Times New Roman" w:hAnsi="Times New Roman" w:cs="Times New Roman"/>
          <w:sz w:val="24"/>
          <w:szCs w:val="24"/>
        </w:rPr>
        <w:t>wne miejsce</w:t>
      </w:r>
      <w:r w:rsidR="00B237DE" w:rsidRPr="00541932">
        <w:rPr>
          <w:rFonts w:ascii="Times New Roman" w:hAnsi="Times New Roman" w:cs="Times New Roman"/>
          <w:sz w:val="24"/>
          <w:szCs w:val="24"/>
        </w:rPr>
        <w:t xml:space="preserve"> p</w:t>
      </w:r>
      <w:r w:rsidR="0084688D" w:rsidRPr="00541932">
        <w:rPr>
          <w:rFonts w:ascii="Times New Roman" w:hAnsi="Times New Roman" w:cs="Times New Roman"/>
          <w:sz w:val="24"/>
          <w:szCs w:val="24"/>
        </w:rPr>
        <w:t>r</w:t>
      </w:r>
      <w:r w:rsidR="00B237DE" w:rsidRPr="00541932">
        <w:rPr>
          <w:rFonts w:ascii="Times New Roman" w:hAnsi="Times New Roman" w:cs="Times New Roman"/>
          <w:sz w:val="24"/>
          <w:szCs w:val="24"/>
        </w:rPr>
        <w:t>acy</w:t>
      </w:r>
      <w:r w:rsidR="0084688D" w:rsidRPr="00541932">
        <w:rPr>
          <w:rFonts w:ascii="Times New Roman" w:hAnsi="Times New Roman" w:cs="Times New Roman"/>
          <w:sz w:val="24"/>
          <w:szCs w:val="24"/>
        </w:rPr>
        <w:t xml:space="preserve"> zlok</w:t>
      </w:r>
      <w:r w:rsidR="001715DA" w:rsidRPr="00541932">
        <w:rPr>
          <w:rFonts w:ascii="Times New Roman" w:hAnsi="Times New Roman" w:cs="Times New Roman"/>
          <w:sz w:val="24"/>
          <w:szCs w:val="24"/>
        </w:rPr>
        <w:t>a</w:t>
      </w:r>
      <w:r w:rsidR="0084688D" w:rsidRPr="00541932">
        <w:rPr>
          <w:rFonts w:ascii="Times New Roman" w:hAnsi="Times New Roman" w:cs="Times New Roman"/>
          <w:sz w:val="24"/>
          <w:szCs w:val="24"/>
        </w:rPr>
        <w:t>l</w:t>
      </w:r>
      <w:r w:rsidR="001715DA" w:rsidRPr="00541932">
        <w:rPr>
          <w:rFonts w:ascii="Times New Roman" w:hAnsi="Times New Roman" w:cs="Times New Roman"/>
          <w:sz w:val="24"/>
          <w:szCs w:val="24"/>
        </w:rPr>
        <w:t>iz</w:t>
      </w:r>
      <w:r w:rsidR="009D331A" w:rsidRPr="00541932">
        <w:rPr>
          <w:rFonts w:ascii="Times New Roman" w:hAnsi="Times New Roman" w:cs="Times New Roman"/>
          <w:sz w:val="24"/>
          <w:szCs w:val="24"/>
        </w:rPr>
        <w:t xml:space="preserve">owane jest w innej gminie </w:t>
      </w:r>
      <w:r w:rsidR="001715DA" w:rsidRPr="00541932">
        <w:rPr>
          <w:rFonts w:ascii="Times New Roman" w:hAnsi="Times New Roman" w:cs="Times New Roman"/>
          <w:sz w:val="24"/>
          <w:szCs w:val="24"/>
        </w:rPr>
        <w:t>niż ta, gdzie</w:t>
      </w:r>
      <w:r w:rsidR="0084688D" w:rsidRPr="00541932">
        <w:rPr>
          <w:rFonts w:ascii="Times New Roman" w:hAnsi="Times New Roman" w:cs="Times New Roman"/>
          <w:sz w:val="24"/>
          <w:szCs w:val="24"/>
        </w:rPr>
        <w:t xml:space="preserve"> mieszkają</w:t>
      </w:r>
      <w:r w:rsidR="009D331A" w:rsidRPr="00541932">
        <w:rPr>
          <w:rFonts w:ascii="Times New Roman" w:hAnsi="Times New Roman" w:cs="Times New Roman"/>
          <w:sz w:val="24"/>
          <w:szCs w:val="24"/>
        </w:rPr>
        <w:t xml:space="preserve"> (51,0%)</w:t>
      </w:r>
      <w:r w:rsidR="001715DA" w:rsidRPr="00541932">
        <w:rPr>
          <w:rFonts w:ascii="Times New Roman" w:hAnsi="Times New Roman" w:cs="Times New Roman"/>
          <w:sz w:val="24"/>
          <w:szCs w:val="24"/>
        </w:rPr>
        <w:t xml:space="preserve">. </w:t>
      </w:r>
    </w:p>
    <w:p w:rsidR="00F3287A" w:rsidRPr="00871E11" w:rsidRDefault="00541932" w:rsidP="0003508B">
      <w:pPr>
        <w:keepNext/>
        <w:tabs>
          <w:tab w:val="left" w:pos="1134"/>
        </w:tabs>
        <w:spacing w:before="200" w:after="0"/>
        <w:ind w:left="851" w:hanging="851"/>
        <w:jc w:val="both"/>
        <w:rPr>
          <w:rFonts w:ascii="Times New Roman" w:hAnsi="Times New Roman" w:cs="Times New Roman"/>
          <w:b/>
          <w:sz w:val="20"/>
          <w:szCs w:val="20"/>
        </w:rPr>
      </w:pPr>
      <w:r w:rsidRPr="00871E11">
        <w:rPr>
          <w:rFonts w:ascii="Times New Roman" w:hAnsi="Times New Roman" w:cs="Times New Roman"/>
          <w:b/>
          <w:sz w:val="20"/>
          <w:szCs w:val="20"/>
        </w:rPr>
        <w:lastRenderedPageBreak/>
        <w:t>Tab</w:t>
      </w:r>
      <w:r w:rsidR="0003508B">
        <w:rPr>
          <w:rFonts w:ascii="Times New Roman" w:hAnsi="Times New Roman" w:cs="Times New Roman"/>
          <w:b/>
          <w:sz w:val="20"/>
          <w:szCs w:val="20"/>
        </w:rPr>
        <w:t>e</w:t>
      </w:r>
      <w:r w:rsidRPr="00871E11">
        <w:rPr>
          <w:rFonts w:ascii="Times New Roman" w:hAnsi="Times New Roman" w:cs="Times New Roman"/>
          <w:b/>
          <w:sz w:val="20"/>
          <w:szCs w:val="20"/>
        </w:rPr>
        <w:t>l</w:t>
      </w:r>
      <w:r w:rsidR="0003508B">
        <w:rPr>
          <w:rFonts w:ascii="Times New Roman" w:hAnsi="Times New Roman" w:cs="Times New Roman"/>
          <w:b/>
          <w:sz w:val="20"/>
          <w:szCs w:val="20"/>
        </w:rPr>
        <w:t>a</w:t>
      </w:r>
      <w:r w:rsidRPr="00871E11">
        <w:rPr>
          <w:rFonts w:ascii="Times New Roman" w:hAnsi="Times New Roman" w:cs="Times New Roman"/>
          <w:b/>
          <w:sz w:val="20"/>
          <w:szCs w:val="20"/>
        </w:rPr>
        <w:t xml:space="preserve"> </w:t>
      </w:r>
      <w:r w:rsidR="0003508B">
        <w:rPr>
          <w:rFonts w:ascii="Times New Roman" w:hAnsi="Times New Roman" w:cs="Times New Roman"/>
          <w:b/>
          <w:sz w:val="20"/>
          <w:szCs w:val="20"/>
        </w:rPr>
        <w:t>6</w:t>
      </w:r>
      <w:r w:rsidRPr="00871E11">
        <w:rPr>
          <w:rFonts w:ascii="Times New Roman" w:hAnsi="Times New Roman" w:cs="Times New Roman"/>
          <w:b/>
          <w:sz w:val="20"/>
          <w:szCs w:val="20"/>
        </w:rPr>
        <w:t>.</w:t>
      </w:r>
      <w:r w:rsidR="0003508B">
        <w:rPr>
          <w:rFonts w:ascii="Times New Roman" w:hAnsi="Times New Roman" w:cs="Times New Roman"/>
          <w:b/>
          <w:sz w:val="20"/>
          <w:szCs w:val="20"/>
        </w:rPr>
        <w:t>1.</w:t>
      </w:r>
      <w:r w:rsidRPr="00871E11">
        <w:rPr>
          <w:rFonts w:ascii="Times New Roman" w:hAnsi="Times New Roman" w:cs="Times New Roman"/>
          <w:b/>
          <w:sz w:val="20"/>
          <w:szCs w:val="20"/>
        </w:rPr>
        <w:tab/>
      </w:r>
      <w:r w:rsidR="00871E11" w:rsidRPr="00871E11">
        <w:rPr>
          <w:rFonts w:ascii="Times New Roman" w:hAnsi="Times New Roman" w:cs="Times New Roman"/>
          <w:b/>
          <w:bCs/>
          <w:iCs/>
          <w:sz w:val="20"/>
          <w:szCs w:val="20"/>
        </w:rPr>
        <w:t>Dojeżdżający do pracy według lokalizacji miejsca pracy (w % ogółem</w:t>
      </w:r>
      <w:r w:rsidR="00871E11" w:rsidRPr="00871E11">
        <w:rPr>
          <w:rFonts w:ascii="Times New Roman" w:hAnsi="Times New Roman" w:cs="Times New Roman"/>
          <w:sz w:val="20"/>
          <w:szCs w:val="20"/>
        </w:rPr>
        <w:t>)</w:t>
      </w:r>
    </w:p>
    <w:p w:rsidR="00A613E2" w:rsidRPr="00541932" w:rsidRDefault="00A613E2" w:rsidP="00541932">
      <w:pPr>
        <w:keepNext/>
        <w:tabs>
          <w:tab w:val="left" w:pos="851"/>
        </w:tabs>
        <w:spacing w:before="200" w:after="0"/>
        <w:ind w:left="851" w:hanging="851"/>
        <w:jc w:val="both"/>
        <w:rPr>
          <w:rFonts w:ascii="Times New Roman" w:hAnsi="Times New Roman" w:cs="Times New Roman"/>
          <w:b/>
          <w:sz w:val="20"/>
          <w:szCs w:val="20"/>
        </w:rPr>
      </w:pPr>
    </w:p>
    <w:tbl>
      <w:tblPr>
        <w:tblStyle w:val="Tabela-Siatka"/>
        <w:tblW w:w="9180" w:type="dxa"/>
        <w:tblInd w:w="108" w:type="dxa"/>
        <w:tblLayout w:type="fixed"/>
        <w:tblLook w:val="04A0"/>
      </w:tblPr>
      <w:tblGrid>
        <w:gridCol w:w="1545"/>
        <w:gridCol w:w="1090"/>
        <w:gridCol w:w="1091"/>
        <w:gridCol w:w="1091"/>
        <w:gridCol w:w="1090"/>
        <w:gridCol w:w="1091"/>
        <w:gridCol w:w="1091"/>
        <w:gridCol w:w="1091"/>
      </w:tblGrid>
      <w:tr w:rsidR="007038C9" w:rsidRPr="00005410" w:rsidTr="00A2350A">
        <w:trPr>
          <w:trHeight w:val="1438"/>
          <w:tblHeader/>
        </w:trPr>
        <w:tc>
          <w:tcPr>
            <w:tcW w:w="1545" w:type="dxa"/>
            <w:tcBorders>
              <w:left w:val="nil"/>
              <w:bottom w:val="single" w:sz="4" w:space="0" w:color="auto"/>
            </w:tcBorders>
            <w:vAlign w:val="center"/>
          </w:tcPr>
          <w:p w:rsidR="007038C9" w:rsidRPr="00005410" w:rsidRDefault="007038C9" w:rsidP="00A2350A">
            <w:pPr>
              <w:pStyle w:val="tekstgl"/>
              <w:spacing w:after="0"/>
              <w:ind w:firstLine="0"/>
              <w:jc w:val="center"/>
              <w:rPr>
                <w:rFonts w:ascii="Times New Roman" w:hAnsi="Times New Roman" w:cs="Times New Roman"/>
              </w:rPr>
            </w:pPr>
            <w:proofErr w:type="spellStart"/>
            <w:r w:rsidRPr="00005410">
              <w:rPr>
                <w:rFonts w:ascii="Times New Roman" w:eastAsia="Times New Roman" w:hAnsi="Times New Roman" w:cs="Times New Roman"/>
                <w:color w:val="000000"/>
                <w:lang w:eastAsia="pl-PL"/>
              </w:rPr>
              <w:t>W</w:t>
            </w:r>
            <w:r w:rsidR="00A613E2">
              <w:rPr>
                <w:rFonts w:ascii="Times New Roman" w:eastAsia="Times New Roman" w:hAnsi="Times New Roman" w:cs="Times New Roman"/>
                <w:color w:val="000000"/>
                <w:lang w:eastAsia="pl-PL"/>
              </w:rPr>
              <w:t>yszczegól</w:t>
            </w:r>
            <w:proofErr w:type="spellEnd"/>
            <w:r w:rsidR="00A2350A">
              <w:rPr>
                <w:rFonts w:ascii="Times New Roman" w:eastAsia="Times New Roman" w:hAnsi="Times New Roman" w:cs="Times New Roman"/>
                <w:color w:val="000000"/>
                <w:lang w:eastAsia="pl-PL"/>
              </w:rPr>
              <w:t>-</w:t>
            </w:r>
            <w:r w:rsidR="00A2350A">
              <w:rPr>
                <w:rFonts w:ascii="Times New Roman" w:eastAsia="Times New Roman" w:hAnsi="Times New Roman" w:cs="Times New Roman"/>
                <w:color w:val="000000"/>
                <w:lang w:eastAsia="pl-PL"/>
              </w:rPr>
              <w:br/>
            </w:r>
            <w:proofErr w:type="spellStart"/>
            <w:r w:rsidR="00A613E2">
              <w:rPr>
                <w:rFonts w:ascii="Times New Roman" w:eastAsia="Times New Roman" w:hAnsi="Times New Roman" w:cs="Times New Roman"/>
                <w:color w:val="000000"/>
                <w:lang w:eastAsia="pl-PL"/>
              </w:rPr>
              <w:t>nienie</w:t>
            </w:r>
            <w:proofErr w:type="spellEnd"/>
          </w:p>
        </w:tc>
        <w:tc>
          <w:tcPr>
            <w:tcW w:w="1090" w:type="dxa"/>
            <w:tcBorders>
              <w:bottom w:val="single" w:sz="4" w:space="0" w:color="auto"/>
            </w:tcBorders>
            <w:vAlign w:val="center"/>
          </w:tcPr>
          <w:p w:rsidR="007038C9" w:rsidRPr="00005410" w:rsidRDefault="007038C9" w:rsidP="007038C9">
            <w:pPr>
              <w:pStyle w:val="tekstgl"/>
              <w:spacing w:after="0"/>
              <w:ind w:firstLine="0"/>
              <w:jc w:val="center"/>
              <w:rPr>
                <w:rFonts w:ascii="Times New Roman" w:hAnsi="Times New Roman" w:cs="Times New Roman"/>
              </w:rPr>
            </w:pPr>
            <w:r w:rsidRPr="00005410">
              <w:rPr>
                <w:rFonts w:ascii="Times New Roman" w:hAnsi="Times New Roman" w:cs="Times New Roman"/>
              </w:rPr>
              <w:t>Razem</w:t>
            </w:r>
          </w:p>
        </w:tc>
        <w:tc>
          <w:tcPr>
            <w:tcW w:w="1091" w:type="dxa"/>
            <w:tcBorders>
              <w:bottom w:val="single" w:sz="4" w:space="0" w:color="auto"/>
            </w:tcBorders>
            <w:vAlign w:val="center"/>
          </w:tcPr>
          <w:p w:rsidR="00713F04" w:rsidRDefault="007038C9" w:rsidP="00713F04">
            <w:pPr>
              <w:keepNext/>
              <w:jc w:val="center"/>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W</w:t>
            </w:r>
            <w:r w:rsidR="00713F04">
              <w:rPr>
                <w:rFonts w:ascii="Times New Roman" w:eastAsia="Times New Roman" w:hAnsi="Times New Roman" w:cs="Times New Roman"/>
                <w:color w:val="000000"/>
                <w:lang w:eastAsia="pl-PL"/>
              </w:rPr>
              <w:t xml:space="preserve"> woje-wó</w:t>
            </w:r>
            <w:r w:rsidRPr="00005410">
              <w:rPr>
                <w:rFonts w:ascii="Times New Roman" w:eastAsia="Times New Roman" w:hAnsi="Times New Roman" w:cs="Times New Roman"/>
                <w:color w:val="000000"/>
                <w:lang w:eastAsia="pl-PL"/>
              </w:rPr>
              <w:t>dz</w:t>
            </w:r>
            <w:r w:rsidR="00713F04">
              <w:rPr>
                <w:rFonts w:ascii="Times New Roman" w:eastAsia="Times New Roman" w:hAnsi="Times New Roman" w:cs="Times New Roman"/>
                <w:color w:val="000000"/>
                <w:lang w:eastAsia="pl-PL"/>
              </w:rPr>
              <w:t>-</w:t>
            </w:r>
          </w:p>
          <w:p w:rsidR="00713F04" w:rsidRDefault="00713F04" w:rsidP="00713F04">
            <w:pPr>
              <w:keepNext/>
              <w:jc w:val="center"/>
              <w:rPr>
                <w:rFonts w:ascii="Times New Roman" w:eastAsia="Times New Roman" w:hAnsi="Times New Roman" w:cs="Times New Roman"/>
                <w:color w:val="000000"/>
                <w:lang w:eastAsia="pl-PL"/>
              </w:rPr>
            </w:pPr>
            <w:proofErr w:type="spellStart"/>
            <w:r>
              <w:rPr>
                <w:rFonts w:ascii="Times New Roman" w:eastAsia="Times New Roman" w:hAnsi="Times New Roman" w:cs="Times New Roman"/>
                <w:color w:val="000000"/>
                <w:lang w:eastAsia="pl-PL"/>
              </w:rPr>
              <w:t>t</w:t>
            </w:r>
            <w:r w:rsidR="007038C9" w:rsidRPr="00005410">
              <w:rPr>
                <w:rFonts w:ascii="Times New Roman" w:eastAsia="Times New Roman" w:hAnsi="Times New Roman" w:cs="Times New Roman"/>
                <w:color w:val="000000"/>
                <w:lang w:eastAsia="pl-PL"/>
              </w:rPr>
              <w:t>wie</w:t>
            </w:r>
            <w:proofErr w:type="spellEnd"/>
          </w:p>
          <w:p w:rsidR="007038C9" w:rsidRPr="00005410" w:rsidRDefault="007038C9" w:rsidP="00713F04">
            <w:pPr>
              <w:keepNext/>
              <w:jc w:val="center"/>
              <w:rPr>
                <w:rFonts w:ascii="Times New Roman" w:eastAsia="Times New Roman" w:hAnsi="Times New Roman" w:cs="Times New Roman"/>
                <w:color w:val="000000"/>
                <w:lang w:eastAsia="pl-PL"/>
              </w:rPr>
            </w:pPr>
            <w:proofErr w:type="spellStart"/>
            <w:r w:rsidRPr="00005410">
              <w:rPr>
                <w:rFonts w:ascii="Times New Roman" w:eastAsia="Times New Roman" w:hAnsi="Times New Roman" w:cs="Times New Roman"/>
                <w:color w:val="000000"/>
                <w:lang w:eastAsia="pl-PL"/>
              </w:rPr>
              <w:t>zamie</w:t>
            </w:r>
            <w:r w:rsidR="00713F04">
              <w:rPr>
                <w:rFonts w:ascii="Times New Roman" w:eastAsia="Times New Roman" w:hAnsi="Times New Roman" w:cs="Times New Roman"/>
                <w:color w:val="000000"/>
                <w:lang w:eastAsia="pl-PL"/>
              </w:rPr>
              <w:t>-</w:t>
            </w:r>
            <w:r w:rsidRPr="00005410">
              <w:rPr>
                <w:rFonts w:ascii="Times New Roman" w:eastAsia="Times New Roman" w:hAnsi="Times New Roman" w:cs="Times New Roman"/>
                <w:color w:val="000000"/>
                <w:lang w:eastAsia="pl-PL"/>
              </w:rPr>
              <w:t>szkania</w:t>
            </w:r>
            <w:proofErr w:type="spellEnd"/>
          </w:p>
        </w:tc>
        <w:tc>
          <w:tcPr>
            <w:tcW w:w="1091" w:type="dxa"/>
            <w:tcBorders>
              <w:bottom w:val="single" w:sz="4" w:space="0" w:color="auto"/>
            </w:tcBorders>
            <w:vAlign w:val="center"/>
          </w:tcPr>
          <w:p w:rsidR="007038C9" w:rsidRPr="00005410" w:rsidRDefault="007038C9" w:rsidP="00713F04">
            <w:pPr>
              <w:keepNext/>
              <w:jc w:val="center"/>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Poza</w:t>
            </w:r>
            <w:r w:rsidR="00713F04">
              <w:rPr>
                <w:rFonts w:ascii="Times New Roman" w:eastAsia="Times New Roman" w:hAnsi="Times New Roman" w:cs="Times New Roman"/>
                <w:color w:val="000000"/>
                <w:lang w:eastAsia="pl-PL"/>
              </w:rPr>
              <w:t xml:space="preserve"> </w:t>
            </w:r>
            <w:proofErr w:type="spellStart"/>
            <w:r w:rsidRPr="00005410">
              <w:rPr>
                <w:rFonts w:ascii="Times New Roman" w:eastAsia="Times New Roman" w:hAnsi="Times New Roman" w:cs="Times New Roman"/>
                <w:color w:val="000000"/>
                <w:lang w:eastAsia="pl-PL"/>
              </w:rPr>
              <w:t>woje</w:t>
            </w:r>
            <w:r w:rsidR="00713F04">
              <w:rPr>
                <w:rFonts w:ascii="Times New Roman" w:eastAsia="Times New Roman" w:hAnsi="Times New Roman" w:cs="Times New Roman"/>
                <w:color w:val="000000"/>
                <w:lang w:eastAsia="pl-PL"/>
              </w:rPr>
              <w:t>-</w:t>
            </w:r>
            <w:r w:rsidRPr="00005410">
              <w:rPr>
                <w:rFonts w:ascii="Times New Roman" w:eastAsia="Times New Roman" w:hAnsi="Times New Roman" w:cs="Times New Roman"/>
                <w:color w:val="000000"/>
                <w:lang w:eastAsia="pl-PL"/>
              </w:rPr>
              <w:t>wódz</w:t>
            </w:r>
            <w:r w:rsidR="00713F04">
              <w:rPr>
                <w:rFonts w:ascii="Times New Roman" w:eastAsia="Times New Roman" w:hAnsi="Times New Roman" w:cs="Times New Roman"/>
                <w:color w:val="000000"/>
                <w:lang w:eastAsia="pl-PL"/>
              </w:rPr>
              <w:t>-</w:t>
            </w:r>
            <w:r w:rsidRPr="00005410">
              <w:rPr>
                <w:rFonts w:ascii="Times New Roman" w:eastAsia="Times New Roman" w:hAnsi="Times New Roman" w:cs="Times New Roman"/>
                <w:color w:val="000000"/>
                <w:lang w:eastAsia="pl-PL"/>
              </w:rPr>
              <w:t>twem</w:t>
            </w:r>
            <w:proofErr w:type="spellEnd"/>
            <w:r w:rsidRPr="00005410">
              <w:rPr>
                <w:rFonts w:ascii="Times New Roman" w:eastAsia="Times New Roman" w:hAnsi="Times New Roman" w:cs="Times New Roman"/>
                <w:color w:val="000000"/>
                <w:lang w:eastAsia="pl-PL"/>
              </w:rPr>
              <w:t xml:space="preserve"> </w:t>
            </w:r>
            <w:proofErr w:type="spellStart"/>
            <w:r w:rsidRPr="00005410">
              <w:rPr>
                <w:rFonts w:ascii="Times New Roman" w:eastAsia="Times New Roman" w:hAnsi="Times New Roman" w:cs="Times New Roman"/>
                <w:color w:val="000000"/>
                <w:lang w:eastAsia="pl-PL"/>
              </w:rPr>
              <w:t>zamie</w:t>
            </w:r>
            <w:r w:rsidR="00713F04">
              <w:rPr>
                <w:rFonts w:ascii="Times New Roman" w:eastAsia="Times New Roman" w:hAnsi="Times New Roman" w:cs="Times New Roman"/>
                <w:color w:val="000000"/>
                <w:lang w:eastAsia="pl-PL"/>
              </w:rPr>
              <w:t>-</w:t>
            </w:r>
            <w:r w:rsidRPr="00005410">
              <w:rPr>
                <w:rFonts w:ascii="Times New Roman" w:eastAsia="Times New Roman" w:hAnsi="Times New Roman" w:cs="Times New Roman"/>
                <w:color w:val="000000"/>
                <w:lang w:eastAsia="pl-PL"/>
              </w:rPr>
              <w:t>szkania</w:t>
            </w:r>
            <w:proofErr w:type="spellEnd"/>
          </w:p>
        </w:tc>
        <w:tc>
          <w:tcPr>
            <w:tcW w:w="1090" w:type="dxa"/>
            <w:tcBorders>
              <w:bottom w:val="single" w:sz="4" w:space="0" w:color="auto"/>
            </w:tcBorders>
            <w:vAlign w:val="center"/>
          </w:tcPr>
          <w:p w:rsidR="007038C9" w:rsidRPr="00005410" w:rsidRDefault="007038C9" w:rsidP="007038C9">
            <w:pPr>
              <w:keepNext/>
              <w:jc w:val="center"/>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 xml:space="preserve">W powiecie </w:t>
            </w:r>
            <w:proofErr w:type="spellStart"/>
            <w:r w:rsidRPr="00005410">
              <w:rPr>
                <w:rFonts w:ascii="Times New Roman" w:eastAsia="Times New Roman" w:hAnsi="Times New Roman" w:cs="Times New Roman"/>
                <w:color w:val="000000"/>
                <w:lang w:eastAsia="pl-PL"/>
              </w:rPr>
              <w:t>zamie</w:t>
            </w:r>
            <w:r w:rsidR="00713F04">
              <w:rPr>
                <w:rFonts w:ascii="Times New Roman" w:eastAsia="Times New Roman" w:hAnsi="Times New Roman" w:cs="Times New Roman"/>
                <w:color w:val="000000"/>
                <w:lang w:eastAsia="pl-PL"/>
              </w:rPr>
              <w:t>-</w:t>
            </w:r>
            <w:r w:rsidRPr="00005410">
              <w:rPr>
                <w:rFonts w:ascii="Times New Roman" w:eastAsia="Times New Roman" w:hAnsi="Times New Roman" w:cs="Times New Roman"/>
                <w:color w:val="000000"/>
                <w:lang w:eastAsia="pl-PL"/>
              </w:rPr>
              <w:t>szkania</w:t>
            </w:r>
            <w:proofErr w:type="spellEnd"/>
          </w:p>
        </w:tc>
        <w:tc>
          <w:tcPr>
            <w:tcW w:w="1091" w:type="dxa"/>
            <w:tcBorders>
              <w:bottom w:val="single" w:sz="4" w:space="0" w:color="auto"/>
            </w:tcBorders>
            <w:vAlign w:val="center"/>
          </w:tcPr>
          <w:p w:rsidR="007038C9" w:rsidRPr="00005410" w:rsidRDefault="007038C9" w:rsidP="007038C9">
            <w:pPr>
              <w:keepNext/>
              <w:jc w:val="center"/>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 xml:space="preserve">Poza powiatem </w:t>
            </w:r>
            <w:proofErr w:type="spellStart"/>
            <w:r w:rsidRPr="00005410">
              <w:rPr>
                <w:rFonts w:ascii="Times New Roman" w:eastAsia="Times New Roman" w:hAnsi="Times New Roman" w:cs="Times New Roman"/>
                <w:color w:val="000000"/>
                <w:lang w:eastAsia="pl-PL"/>
              </w:rPr>
              <w:t>zamie</w:t>
            </w:r>
            <w:r w:rsidR="00713F04">
              <w:rPr>
                <w:rFonts w:ascii="Times New Roman" w:eastAsia="Times New Roman" w:hAnsi="Times New Roman" w:cs="Times New Roman"/>
                <w:color w:val="000000"/>
                <w:lang w:eastAsia="pl-PL"/>
              </w:rPr>
              <w:t>-</w:t>
            </w:r>
            <w:r w:rsidRPr="00005410">
              <w:rPr>
                <w:rFonts w:ascii="Times New Roman" w:eastAsia="Times New Roman" w:hAnsi="Times New Roman" w:cs="Times New Roman"/>
                <w:color w:val="000000"/>
                <w:lang w:eastAsia="pl-PL"/>
              </w:rPr>
              <w:t>szkania</w:t>
            </w:r>
            <w:proofErr w:type="spellEnd"/>
          </w:p>
        </w:tc>
        <w:tc>
          <w:tcPr>
            <w:tcW w:w="1091" w:type="dxa"/>
            <w:tcBorders>
              <w:bottom w:val="single" w:sz="4" w:space="0" w:color="auto"/>
            </w:tcBorders>
            <w:vAlign w:val="center"/>
          </w:tcPr>
          <w:p w:rsidR="007038C9" w:rsidRPr="00005410" w:rsidRDefault="007038C9" w:rsidP="007038C9">
            <w:pPr>
              <w:keepNext/>
              <w:jc w:val="center"/>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 xml:space="preserve">W gminie </w:t>
            </w:r>
            <w:proofErr w:type="spellStart"/>
            <w:r w:rsidRPr="00005410">
              <w:rPr>
                <w:rFonts w:ascii="Times New Roman" w:eastAsia="Times New Roman" w:hAnsi="Times New Roman" w:cs="Times New Roman"/>
                <w:color w:val="000000"/>
                <w:lang w:eastAsia="pl-PL"/>
              </w:rPr>
              <w:t>zamie</w:t>
            </w:r>
            <w:r w:rsidR="00713F04">
              <w:rPr>
                <w:rFonts w:ascii="Times New Roman" w:eastAsia="Times New Roman" w:hAnsi="Times New Roman" w:cs="Times New Roman"/>
                <w:color w:val="000000"/>
                <w:lang w:eastAsia="pl-PL"/>
              </w:rPr>
              <w:t>-</w:t>
            </w:r>
            <w:r w:rsidRPr="00005410">
              <w:rPr>
                <w:rFonts w:ascii="Times New Roman" w:eastAsia="Times New Roman" w:hAnsi="Times New Roman" w:cs="Times New Roman"/>
                <w:color w:val="000000"/>
                <w:lang w:eastAsia="pl-PL"/>
              </w:rPr>
              <w:t>szkania</w:t>
            </w:r>
            <w:proofErr w:type="spellEnd"/>
          </w:p>
        </w:tc>
        <w:tc>
          <w:tcPr>
            <w:tcW w:w="1091" w:type="dxa"/>
            <w:tcBorders>
              <w:bottom w:val="single" w:sz="4" w:space="0" w:color="auto"/>
              <w:right w:val="nil"/>
            </w:tcBorders>
            <w:vAlign w:val="center"/>
          </w:tcPr>
          <w:p w:rsidR="007038C9" w:rsidRPr="00005410" w:rsidRDefault="007038C9" w:rsidP="007038C9">
            <w:pPr>
              <w:keepNext/>
              <w:jc w:val="center"/>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 xml:space="preserve">Poza gminą </w:t>
            </w:r>
            <w:proofErr w:type="spellStart"/>
            <w:r w:rsidRPr="00005410">
              <w:rPr>
                <w:rFonts w:ascii="Times New Roman" w:eastAsia="Times New Roman" w:hAnsi="Times New Roman" w:cs="Times New Roman"/>
                <w:color w:val="000000"/>
                <w:lang w:eastAsia="pl-PL"/>
              </w:rPr>
              <w:t>zamie</w:t>
            </w:r>
            <w:r w:rsidR="00713F04">
              <w:rPr>
                <w:rFonts w:ascii="Times New Roman" w:eastAsia="Times New Roman" w:hAnsi="Times New Roman" w:cs="Times New Roman"/>
                <w:color w:val="000000"/>
                <w:lang w:eastAsia="pl-PL"/>
              </w:rPr>
              <w:t>-</w:t>
            </w:r>
            <w:r w:rsidRPr="00005410">
              <w:rPr>
                <w:rFonts w:ascii="Times New Roman" w:eastAsia="Times New Roman" w:hAnsi="Times New Roman" w:cs="Times New Roman"/>
                <w:color w:val="000000"/>
                <w:lang w:eastAsia="pl-PL"/>
              </w:rPr>
              <w:t>szkania</w:t>
            </w:r>
            <w:proofErr w:type="spellEnd"/>
          </w:p>
        </w:tc>
      </w:tr>
      <w:tr w:rsidR="00163A29" w:rsidRPr="00005410" w:rsidTr="00A2350A">
        <w:trPr>
          <w:trHeight w:val="299"/>
        </w:trPr>
        <w:tc>
          <w:tcPr>
            <w:tcW w:w="9180" w:type="dxa"/>
            <w:gridSpan w:val="8"/>
            <w:tcBorders>
              <w:top w:val="single" w:sz="4" w:space="0" w:color="auto"/>
              <w:left w:val="nil"/>
              <w:bottom w:val="nil"/>
              <w:right w:val="nil"/>
            </w:tcBorders>
            <w:vAlign w:val="center"/>
          </w:tcPr>
          <w:p w:rsidR="00163A29" w:rsidRPr="00A613E2" w:rsidRDefault="00A613E2" w:rsidP="00A613E2">
            <w:pPr>
              <w:pStyle w:val="tekstgl"/>
              <w:spacing w:after="0"/>
              <w:ind w:firstLine="0"/>
              <w:jc w:val="center"/>
              <w:rPr>
                <w:rFonts w:ascii="Times New Roman" w:hAnsi="Times New Roman" w:cs="Times New Roman"/>
              </w:rPr>
            </w:pPr>
            <w:r w:rsidRPr="00A613E2">
              <w:rPr>
                <w:rFonts w:ascii="Times New Roman" w:hAnsi="Times New Roman" w:cs="Times New Roman"/>
                <w:i/>
              </w:rPr>
              <w:t>w</w:t>
            </w:r>
            <w:r w:rsidR="00163A29" w:rsidRPr="00A613E2">
              <w:rPr>
                <w:rFonts w:ascii="Times New Roman" w:hAnsi="Times New Roman" w:cs="Times New Roman"/>
                <w:i/>
              </w:rPr>
              <w:t xml:space="preserve"> liczbie ogółem</w:t>
            </w:r>
          </w:p>
        </w:tc>
      </w:tr>
      <w:tr w:rsidR="007038C9" w:rsidRPr="00005410" w:rsidTr="00A2350A">
        <w:tc>
          <w:tcPr>
            <w:tcW w:w="1545" w:type="dxa"/>
            <w:tcBorders>
              <w:top w:val="nil"/>
              <w:left w:val="nil"/>
              <w:bottom w:val="nil"/>
            </w:tcBorders>
            <w:vAlign w:val="bottom"/>
          </w:tcPr>
          <w:p w:rsidR="007038C9" w:rsidRPr="00005410" w:rsidRDefault="007038C9" w:rsidP="00A2350A">
            <w:pPr>
              <w:keepNext/>
              <w:ind w:left="-57"/>
              <w:rPr>
                <w:rFonts w:ascii="Times New Roman" w:eastAsia="Times New Roman" w:hAnsi="Times New Roman" w:cs="Times New Roman"/>
                <w:b/>
                <w:color w:val="000000"/>
                <w:lang w:eastAsia="pl-PL"/>
              </w:rPr>
            </w:pPr>
            <w:r w:rsidRPr="00005410">
              <w:rPr>
                <w:rFonts w:ascii="Times New Roman" w:eastAsia="Times New Roman" w:hAnsi="Times New Roman" w:cs="Times New Roman"/>
                <w:b/>
                <w:color w:val="000000"/>
                <w:lang w:eastAsia="pl-PL"/>
              </w:rPr>
              <w:t>Polska</w:t>
            </w:r>
          </w:p>
        </w:tc>
        <w:tc>
          <w:tcPr>
            <w:tcW w:w="1090" w:type="dxa"/>
            <w:tcBorders>
              <w:top w:val="nil"/>
              <w:bottom w:val="nil"/>
            </w:tcBorders>
            <w:vAlign w:val="bottom"/>
          </w:tcPr>
          <w:p w:rsidR="007038C9" w:rsidRPr="00005410" w:rsidRDefault="00B86619" w:rsidP="00163A29">
            <w:pPr>
              <w:pStyle w:val="tekstgl"/>
              <w:spacing w:after="0"/>
              <w:ind w:firstLine="0"/>
              <w:jc w:val="right"/>
              <w:rPr>
                <w:rFonts w:ascii="Times New Roman" w:hAnsi="Times New Roman" w:cs="Times New Roman"/>
                <w:b/>
              </w:rPr>
            </w:pPr>
            <w:r w:rsidRPr="00005410">
              <w:rPr>
                <w:rFonts w:ascii="Times New Roman" w:hAnsi="Times New Roman" w:cs="Times New Roman"/>
                <w:b/>
              </w:rPr>
              <w:t>100,0</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b/>
                <w:color w:val="000000"/>
                <w:lang w:eastAsia="pl-PL"/>
              </w:rPr>
            </w:pPr>
            <w:r w:rsidRPr="00005410">
              <w:rPr>
                <w:rFonts w:ascii="Times New Roman" w:eastAsia="Times New Roman" w:hAnsi="Times New Roman" w:cs="Times New Roman"/>
                <w:b/>
                <w:color w:val="000000"/>
                <w:lang w:eastAsia="pl-PL"/>
              </w:rPr>
              <w:t>100,0</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b/>
                <w:color w:val="000000"/>
                <w:lang w:eastAsia="pl-PL"/>
              </w:rPr>
            </w:pPr>
            <w:r w:rsidRPr="00005410">
              <w:rPr>
                <w:rFonts w:ascii="Times New Roman" w:eastAsia="Times New Roman" w:hAnsi="Times New Roman" w:cs="Times New Roman"/>
                <w:b/>
                <w:color w:val="000000"/>
                <w:lang w:eastAsia="pl-PL"/>
              </w:rPr>
              <w:t>100,0</w:t>
            </w:r>
          </w:p>
        </w:tc>
        <w:tc>
          <w:tcPr>
            <w:tcW w:w="1090"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b/>
                <w:color w:val="000000"/>
                <w:lang w:eastAsia="pl-PL"/>
              </w:rPr>
            </w:pPr>
            <w:r w:rsidRPr="00005410">
              <w:rPr>
                <w:rFonts w:ascii="Times New Roman" w:eastAsia="Times New Roman" w:hAnsi="Times New Roman" w:cs="Times New Roman"/>
                <w:b/>
                <w:color w:val="000000"/>
                <w:lang w:eastAsia="pl-PL"/>
              </w:rPr>
              <w:t>100,0</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b/>
                <w:color w:val="000000"/>
                <w:lang w:eastAsia="pl-PL"/>
              </w:rPr>
            </w:pPr>
            <w:r w:rsidRPr="00005410">
              <w:rPr>
                <w:rFonts w:ascii="Times New Roman" w:eastAsia="Times New Roman" w:hAnsi="Times New Roman" w:cs="Times New Roman"/>
                <w:b/>
                <w:color w:val="000000"/>
                <w:lang w:eastAsia="pl-PL"/>
              </w:rPr>
              <w:t>100,0</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b/>
                <w:color w:val="000000"/>
                <w:lang w:eastAsia="pl-PL"/>
              </w:rPr>
            </w:pPr>
            <w:r w:rsidRPr="00005410">
              <w:rPr>
                <w:rFonts w:ascii="Times New Roman" w:eastAsia="Times New Roman" w:hAnsi="Times New Roman" w:cs="Times New Roman"/>
                <w:b/>
                <w:color w:val="000000"/>
                <w:lang w:eastAsia="pl-PL"/>
              </w:rPr>
              <w:t>100,0</w:t>
            </w:r>
          </w:p>
        </w:tc>
        <w:tc>
          <w:tcPr>
            <w:tcW w:w="1091" w:type="dxa"/>
            <w:tcBorders>
              <w:top w:val="nil"/>
              <w:bottom w:val="nil"/>
              <w:right w:val="nil"/>
            </w:tcBorders>
            <w:vAlign w:val="bottom"/>
          </w:tcPr>
          <w:p w:rsidR="007038C9" w:rsidRPr="00005410" w:rsidRDefault="007038C9" w:rsidP="008E4C71">
            <w:pPr>
              <w:keepNext/>
              <w:jc w:val="right"/>
              <w:rPr>
                <w:rFonts w:ascii="Times New Roman" w:eastAsia="Times New Roman" w:hAnsi="Times New Roman" w:cs="Times New Roman"/>
                <w:b/>
                <w:color w:val="000000"/>
                <w:lang w:eastAsia="pl-PL"/>
              </w:rPr>
            </w:pPr>
            <w:r w:rsidRPr="00005410">
              <w:rPr>
                <w:rFonts w:ascii="Times New Roman" w:eastAsia="Times New Roman" w:hAnsi="Times New Roman" w:cs="Times New Roman"/>
                <w:b/>
                <w:color w:val="000000"/>
                <w:lang w:eastAsia="pl-PL"/>
              </w:rPr>
              <w:t>100,0</w:t>
            </w:r>
          </w:p>
        </w:tc>
      </w:tr>
      <w:tr w:rsidR="00A07B22" w:rsidRPr="00005410" w:rsidTr="00A2350A">
        <w:tc>
          <w:tcPr>
            <w:tcW w:w="1545" w:type="dxa"/>
            <w:tcBorders>
              <w:top w:val="nil"/>
              <w:left w:val="nil"/>
              <w:bottom w:val="nil"/>
            </w:tcBorders>
            <w:vAlign w:val="bottom"/>
          </w:tcPr>
          <w:p w:rsidR="00A07B22" w:rsidRPr="00005410" w:rsidRDefault="00A07B22" w:rsidP="00A2350A">
            <w:pPr>
              <w:keepNext/>
              <w:ind w:left="-57"/>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Dolnośląskie</w:t>
            </w:r>
          </w:p>
        </w:tc>
        <w:tc>
          <w:tcPr>
            <w:tcW w:w="1090" w:type="dxa"/>
            <w:tcBorders>
              <w:top w:val="nil"/>
              <w:bottom w:val="nil"/>
            </w:tcBorders>
            <w:vAlign w:val="bottom"/>
          </w:tcPr>
          <w:p w:rsidR="00A07B22" w:rsidRPr="00005410" w:rsidRDefault="004F555F" w:rsidP="00163A29">
            <w:pPr>
              <w:pStyle w:val="tekstgl"/>
              <w:spacing w:after="0"/>
              <w:ind w:firstLine="0"/>
              <w:jc w:val="right"/>
              <w:rPr>
                <w:rFonts w:ascii="Times New Roman" w:hAnsi="Times New Roman" w:cs="Times New Roman"/>
              </w:rPr>
            </w:pPr>
            <w:r w:rsidRPr="00005410">
              <w:rPr>
                <w:rFonts w:ascii="Times New Roman" w:hAnsi="Times New Roman" w:cs="Times New Roman"/>
                <w:color w:val="000000"/>
              </w:rPr>
              <w:t>7,7</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7,9</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4,9</w:t>
            </w:r>
          </w:p>
        </w:tc>
        <w:tc>
          <w:tcPr>
            <w:tcW w:w="1090"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8,2</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6,7</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8,0</w:t>
            </w:r>
          </w:p>
        </w:tc>
        <w:tc>
          <w:tcPr>
            <w:tcW w:w="1091" w:type="dxa"/>
            <w:tcBorders>
              <w:top w:val="nil"/>
              <w:bottom w:val="nil"/>
              <w:right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7,5</w:t>
            </w:r>
          </w:p>
        </w:tc>
      </w:tr>
      <w:tr w:rsidR="00A07B22" w:rsidRPr="00005410" w:rsidTr="00A2350A">
        <w:tc>
          <w:tcPr>
            <w:tcW w:w="1545" w:type="dxa"/>
            <w:tcBorders>
              <w:top w:val="nil"/>
              <w:left w:val="nil"/>
              <w:bottom w:val="nil"/>
            </w:tcBorders>
            <w:vAlign w:val="bottom"/>
          </w:tcPr>
          <w:p w:rsidR="00A07B22" w:rsidRPr="00005410" w:rsidRDefault="00A07B22" w:rsidP="00A2350A">
            <w:pPr>
              <w:keepNext/>
              <w:ind w:left="-57"/>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Kujawsko</w:t>
            </w:r>
            <w:r w:rsidR="00A2350A">
              <w:rPr>
                <w:rFonts w:ascii="Times New Roman" w:eastAsia="Times New Roman" w:hAnsi="Times New Roman" w:cs="Times New Roman"/>
                <w:color w:val="000000"/>
                <w:lang w:eastAsia="pl-PL"/>
              </w:rPr>
              <w:t>-</w:t>
            </w:r>
            <w:r w:rsidR="00A2350A">
              <w:rPr>
                <w:rFonts w:ascii="Times New Roman" w:eastAsia="Times New Roman" w:hAnsi="Times New Roman" w:cs="Times New Roman"/>
                <w:color w:val="000000"/>
                <w:lang w:eastAsia="pl-PL"/>
              </w:rPr>
              <w:br/>
              <w:t>-</w:t>
            </w:r>
            <w:r w:rsidRPr="00005410">
              <w:rPr>
                <w:rFonts w:ascii="Times New Roman" w:eastAsia="Times New Roman" w:hAnsi="Times New Roman" w:cs="Times New Roman"/>
                <w:color w:val="000000"/>
                <w:lang w:eastAsia="pl-PL"/>
              </w:rPr>
              <w:t>pomorskie</w:t>
            </w:r>
          </w:p>
        </w:tc>
        <w:tc>
          <w:tcPr>
            <w:tcW w:w="1090" w:type="dxa"/>
            <w:tcBorders>
              <w:top w:val="nil"/>
              <w:bottom w:val="nil"/>
            </w:tcBorders>
            <w:vAlign w:val="bottom"/>
          </w:tcPr>
          <w:p w:rsidR="00E8017E" w:rsidRPr="00005410" w:rsidRDefault="00392EE2">
            <w:pPr>
              <w:pStyle w:val="tekstgl"/>
              <w:spacing w:before="240" w:after="0"/>
              <w:ind w:firstLine="0"/>
              <w:jc w:val="right"/>
              <w:outlineLvl w:val="2"/>
              <w:rPr>
                <w:rFonts w:ascii="Times New Roman" w:hAnsi="Times New Roman" w:cs="Times New Roman"/>
              </w:rPr>
            </w:pPr>
            <w:r w:rsidRPr="00005410">
              <w:rPr>
                <w:rFonts w:ascii="Times New Roman" w:hAnsi="Times New Roman" w:cs="Times New Roman"/>
                <w:color w:val="000000"/>
              </w:rPr>
              <w:t>5,1</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5,0</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5,8</w:t>
            </w:r>
          </w:p>
        </w:tc>
        <w:tc>
          <w:tcPr>
            <w:tcW w:w="1090"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5,3</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4,5</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5,6</w:t>
            </w:r>
          </w:p>
        </w:tc>
        <w:tc>
          <w:tcPr>
            <w:tcW w:w="1091" w:type="dxa"/>
            <w:tcBorders>
              <w:top w:val="nil"/>
              <w:bottom w:val="nil"/>
              <w:right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4,5</w:t>
            </w:r>
          </w:p>
        </w:tc>
      </w:tr>
      <w:tr w:rsidR="00A07B22" w:rsidRPr="00005410" w:rsidTr="00A2350A">
        <w:tc>
          <w:tcPr>
            <w:tcW w:w="1545" w:type="dxa"/>
            <w:tcBorders>
              <w:top w:val="nil"/>
              <w:left w:val="nil"/>
              <w:bottom w:val="nil"/>
            </w:tcBorders>
            <w:vAlign w:val="bottom"/>
          </w:tcPr>
          <w:p w:rsidR="00A07B22" w:rsidRPr="00005410" w:rsidRDefault="00A07B22" w:rsidP="00A2350A">
            <w:pPr>
              <w:keepNext/>
              <w:ind w:left="-57"/>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Lubelskie</w:t>
            </w:r>
          </w:p>
        </w:tc>
        <w:tc>
          <w:tcPr>
            <w:tcW w:w="1090" w:type="dxa"/>
            <w:tcBorders>
              <w:top w:val="nil"/>
              <w:bottom w:val="nil"/>
            </w:tcBorders>
            <w:vAlign w:val="bottom"/>
          </w:tcPr>
          <w:p w:rsidR="00A07B22" w:rsidRPr="00005410" w:rsidRDefault="004F555F" w:rsidP="00163A29">
            <w:pPr>
              <w:pStyle w:val="tekstgl"/>
              <w:spacing w:after="0"/>
              <w:ind w:firstLine="0"/>
              <w:jc w:val="right"/>
              <w:rPr>
                <w:rFonts w:ascii="Times New Roman" w:hAnsi="Times New Roman" w:cs="Times New Roman"/>
              </w:rPr>
            </w:pPr>
            <w:r w:rsidRPr="00005410">
              <w:rPr>
                <w:rFonts w:ascii="Times New Roman" w:hAnsi="Times New Roman" w:cs="Times New Roman"/>
                <w:color w:val="000000"/>
              </w:rPr>
              <w:t>4,6</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4,5</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7,0</w:t>
            </w:r>
          </w:p>
        </w:tc>
        <w:tc>
          <w:tcPr>
            <w:tcW w:w="1090"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4,7</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4,4</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4,5</w:t>
            </w:r>
          </w:p>
        </w:tc>
        <w:tc>
          <w:tcPr>
            <w:tcW w:w="1091" w:type="dxa"/>
            <w:tcBorders>
              <w:top w:val="nil"/>
              <w:bottom w:val="nil"/>
              <w:right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4,7</w:t>
            </w:r>
          </w:p>
        </w:tc>
      </w:tr>
      <w:tr w:rsidR="00A07B22" w:rsidRPr="00005410" w:rsidTr="00A2350A">
        <w:tc>
          <w:tcPr>
            <w:tcW w:w="1545" w:type="dxa"/>
            <w:tcBorders>
              <w:top w:val="nil"/>
              <w:left w:val="nil"/>
              <w:bottom w:val="nil"/>
            </w:tcBorders>
            <w:vAlign w:val="bottom"/>
          </w:tcPr>
          <w:p w:rsidR="00A07B22" w:rsidRPr="00005410" w:rsidRDefault="00A07B22" w:rsidP="00A2350A">
            <w:pPr>
              <w:keepNext/>
              <w:ind w:left="-57"/>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Lubuskie</w:t>
            </w:r>
          </w:p>
        </w:tc>
        <w:tc>
          <w:tcPr>
            <w:tcW w:w="1090" w:type="dxa"/>
            <w:tcBorders>
              <w:top w:val="nil"/>
              <w:bottom w:val="nil"/>
            </w:tcBorders>
            <w:vAlign w:val="bottom"/>
          </w:tcPr>
          <w:p w:rsidR="00A07B22" w:rsidRPr="00005410" w:rsidRDefault="004F555F" w:rsidP="00163A29">
            <w:pPr>
              <w:pStyle w:val="tekstgl"/>
              <w:spacing w:after="0"/>
              <w:ind w:firstLine="0"/>
              <w:jc w:val="right"/>
              <w:rPr>
                <w:rFonts w:ascii="Times New Roman" w:hAnsi="Times New Roman" w:cs="Times New Roman"/>
              </w:rPr>
            </w:pPr>
            <w:r w:rsidRPr="00005410">
              <w:rPr>
                <w:rFonts w:ascii="Times New Roman" w:hAnsi="Times New Roman" w:cs="Times New Roman"/>
                <w:color w:val="000000"/>
              </w:rPr>
              <w:t>2,4</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2,3</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4,0</w:t>
            </w:r>
          </w:p>
        </w:tc>
        <w:tc>
          <w:tcPr>
            <w:tcW w:w="1090"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2,5</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2,2</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2,2</w:t>
            </w:r>
          </w:p>
        </w:tc>
        <w:tc>
          <w:tcPr>
            <w:tcW w:w="1091" w:type="dxa"/>
            <w:tcBorders>
              <w:top w:val="nil"/>
              <w:bottom w:val="nil"/>
              <w:right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2,5</w:t>
            </w:r>
          </w:p>
        </w:tc>
      </w:tr>
      <w:tr w:rsidR="00A07B22" w:rsidRPr="00005410" w:rsidTr="00A2350A">
        <w:tc>
          <w:tcPr>
            <w:tcW w:w="1545" w:type="dxa"/>
            <w:tcBorders>
              <w:top w:val="nil"/>
              <w:left w:val="nil"/>
              <w:bottom w:val="nil"/>
            </w:tcBorders>
            <w:vAlign w:val="bottom"/>
          </w:tcPr>
          <w:p w:rsidR="00A07B22" w:rsidRPr="00005410" w:rsidRDefault="00A07B22" w:rsidP="00A2350A">
            <w:pPr>
              <w:keepNext/>
              <w:ind w:left="-57"/>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Łódzkie</w:t>
            </w:r>
          </w:p>
        </w:tc>
        <w:tc>
          <w:tcPr>
            <w:tcW w:w="1090" w:type="dxa"/>
            <w:tcBorders>
              <w:top w:val="nil"/>
              <w:bottom w:val="nil"/>
            </w:tcBorders>
            <w:vAlign w:val="bottom"/>
          </w:tcPr>
          <w:p w:rsidR="00A07B22" w:rsidRPr="00005410" w:rsidRDefault="004F555F" w:rsidP="00163A29">
            <w:pPr>
              <w:pStyle w:val="tekstgl"/>
              <w:spacing w:after="0"/>
              <w:ind w:firstLine="0"/>
              <w:jc w:val="right"/>
              <w:rPr>
                <w:rFonts w:ascii="Times New Roman" w:hAnsi="Times New Roman" w:cs="Times New Roman"/>
              </w:rPr>
            </w:pPr>
            <w:r w:rsidRPr="00005410">
              <w:rPr>
                <w:rFonts w:ascii="Times New Roman" w:hAnsi="Times New Roman" w:cs="Times New Roman"/>
                <w:color w:val="000000"/>
              </w:rPr>
              <w:t>7,0</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6,8</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11,8</w:t>
            </w:r>
          </w:p>
        </w:tc>
        <w:tc>
          <w:tcPr>
            <w:tcW w:w="1090"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7,5</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5,7</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7,9</w:t>
            </w:r>
          </w:p>
        </w:tc>
        <w:tc>
          <w:tcPr>
            <w:tcW w:w="1091" w:type="dxa"/>
            <w:tcBorders>
              <w:top w:val="nil"/>
              <w:bottom w:val="nil"/>
              <w:right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6,1</w:t>
            </w:r>
          </w:p>
        </w:tc>
      </w:tr>
      <w:tr w:rsidR="00A07B22" w:rsidRPr="00005410" w:rsidTr="00A2350A">
        <w:tc>
          <w:tcPr>
            <w:tcW w:w="1545" w:type="dxa"/>
            <w:tcBorders>
              <w:top w:val="nil"/>
              <w:left w:val="nil"/>
              <w:bottom w:val="nil"/>
            </w:tcBorders>
            <w:vAlign w:val="bottom"/>
          </w:tcPr>
          <w:p w:rsidR="00A07B22" w:rsidRPr="00005410" w:rsidRDefault="00A07B22" w:rsidP="00A2350A">
            <w:pPr>
              <w:keepNext/>
              <w:ind w:left="-57"/>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Małopolskie</w:t>
            </w:r>
          </w:p>
        </w:tc>
        <w:tc>
          <w:tcPr>
            <w:tcW w:w="1090" w:type="dxa"/>
            <w:tcBorders>
              <w:top w:val="nil"/>
              <w:bottom w:val="nil"/>
            </w:tcBorders>
            <w:vAlign w:val="bottom"/>
          </w:tcPr>
          <w:p w:rsidR="00A07B22" w:rsidRPr="00005410" w:rsidRDefault="004F555F" w:rsidP="00163A29">
            <w:pPr>
              <w:pStyle w:val="tekstgl"/>
              <w:spacing w:after="0"/>
              <w:ind w:firstLine="0"/>
              <w:jc w:val="right"/>
              <w:rPr>
                <w:rFonts w:ascii="Times New Roman" w:hAnsi="Times New Roman" w:cs="Times New Roman"/>
              </w:rPr>
            </w:pPr>
            <w:r w:rsidRPr="00005410">
              <w:rPr>
                <w:rFonts w:ascii="Times New Roman" w:hAnsi="Times New Roman" w:cs="Times New Roman"/>
                <w:color w:val="000000"/>
              </w:rPr>
              <w:t>8,9</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8,6</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14,8</w:t>
            </w:r>
          </w:p>
        </w:tc>
        <w:tc>
          <w:tcPr>
            <w:tcW w:w="1090"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8,7</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9,2</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8,3</w:t>
            </w:r>
          </w:p>
        </w:tc>
        <w:tc>
          <w:tcPr>
            <w:tcW w:w="1091" w:type="dxa"/>
            <w:tcBorders>
              <w:top w:val="nil"/>
              <w:bottom w:val="nil"/>
              <w:right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9,4</w:t>
            </w:r>
          </w:p>
        </w:tc>
      </w:tr>
      <w:tr w:rsidR="00A07B22" w:rsidRPr="00005410" w:rsidTr="00A2350A">
        <w:tc>
          <w:tcPr>
            <w:tcW w:w="1545" w:type="dxa"/>
            <w:tcBorders>
              <w:top w:val="nil"/>
              <w:left w:val="nil"/>
              <w:bottom w:val="nil"/>
            </w:tcBorders>
            <w:vAlign w:val="bottom"/>
          </w:tcPr>
          <w:p w:rsidR="00A07B22" w:rsidRPr="00005410" w:rsidRDefault="00A07B22" w:rsidP="00A2350A">
            <w:pPr>
              <w:keepNext/>
              <w:ind w:left="-57"/>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Mazowieckie</w:t>
            </w:r>
          </w:p>
        </w:tc>
        <w:tc>
          <w:tcPr>
            <w:tcW w:w="1090" w:type="dxa"/>
            <w:tcBorders>
              <w:top w:val="nil"/>
              <w:bottom w:val="nil"/>
            </w:tcBorders>
            <w:vAlign w:val="bottom"/>
          </w:tcPr>
          <w:p w:rsidR="00A07B22" w:rsidRPr="00005410" w:rsidRDefault="004F555F" w:rsidP="00163A29">
            <w:pPr>
              <w:pStyle w:val="tekstgl"/>
              <w:spacing w:after="0"/>
              <w:ind w:firstLine="0"/>
              <w:jc w:val="right"/>
              <w:rPr>
                <w:rFonts w:ascii="Times New Roman" w:hAnsi="Times New Roman" w:cs="Times New Roman"/>
              </w:rPr>
            </w:pPr>
            <w:r w:rsidRPr="00005410">
              <w:rPr>
                <w:rFonts w:ascii="Times New Roman" w:hAnsi="Times New Roman" w:cs="Times New Roman"/>
                <w:color w:val="000000"/>
              </w:rPr>
              <w:t>16,3</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16,6</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6,9</w:t>
            </w:r>
          </w:p>
        </w:tc>
        <w:tc>
          <w:tcPr>
            <w:tcW w:w="1090"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16,2</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16,5</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18,2</w:t>
            </w:r>
          </w:p>
        </w:tc>
        <w:tc>
          <w:tcPr>
            <w:tcW w:w="1091" w:type="dxa"/>
            <w:tcBorders>
              <w:top w:val="nil"/>
              <w:bottom w:val="nil"/>
              <w:right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14,5</w:t>
            </w:r>
          </w:p>
        </w:tc>
      </w:tr>
      <w:tr w:rsidR="00A07B22" w:rsidRPr="00005410" w:rsidTr="00A2350A">
        <w:tc>
          <w:tcPr>
            <w:tcW w:w="1545" w:type="dxa"/>
            <w:tcBorders>
              <w:top w:val="nil"/>
              <w:left w:val="nil"/>
              <w:bottom w:val="nil"/>
            </w:tcBorders>
            <w:vAlign w:val="bottom"/>
          </w:tcPr>
          <w:p w:rsidR="00A07B22" w:rsidRPr="00005410" w:rsidRDefault="00A07B22" w:rsidP="00A2350A">
            <w:pPr>
              <w:keepNext/>
              <w:ind w:left="-57"/>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Opolskie</w:t>
            </w:r>
          </w:p>
        </w:tc>
        <w:tc>
          <w:tcPr>
            <w:tcW w:w="1090" w:type="dxa"/>
            <w:tcBorders>
              <w:top w:val="nil"/>
              <w:bottom w:val="nil"/>
            </w:tcBorders>
            <w:vAlign w:val="bottom"/>
          </w:tcPr>
          <w:p w:rsidR="00A07B22" w:rsidRPr="00005410" w:rsidRDefault="004F555F" w:rsidP="00163A29">
            <w:pPr>
              <w:pStyle w:val="tekstgl"/>
              <w:spacing w:after="0"/>
              <w:ind w:firstLine="0"/>
              <w:jc w:val="right"/>
              <w:rPr>
                <w:rFonts w:ascii="Times New Roman" w:hAnsi="Times New Roman" w:cs="Times New Roman"/>
              </w:rPr>
            </w:pPr>
            <w:r w:rsidRPr="00005410">
              <w:rPr>
                <w:rFonts w:ascii="Times New Roman" w:hAnsi="Times New Roman" w:cs="Times New Roman"/>
                <w:color w:val="000000"/>
              </w:rPr>
              <w:t>2,1</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2,0</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4,7</w:t>
            </w:r>
          </w:p>
        </w:tc>
        <w:tc>
          <w:tcPr>
            <w:tcW w:w="1090"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2,1</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2,1</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1,7</w:t>
            </w:r>
          </w:p>
        </w:tc>
        <w:tc>
          <w:tcPr>
            <w:tcW w:w="1091" w:type="dxa"/>
            <w:tcBorders>
              <w:top w:val="nil"/>
              <w:bottom w:val="nil"/>
              <w:right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2,5</w:t>
            </w:r>
          </w:p>
        </w:tc>
      </w:tr>
      <w:tr w:rsidR="00A07B22" w:rsidRPr="00005410" w:rsidTr="00A2350A">
        <w:tc>
          <w:tcPr>
            <w:tcW w:w="1545" w:type="dxa"/>
            <w:tcBorders>
              <w:top w:val="nil"/>
              <w:left w:val="nil"/>
              <w:bottom w:val="nil"/>
            </w:tcBorders>
            <w:vAlign w:val="bottom"/>
          </w:tcPr>
          <w:p w:rsidR="00A07B22" w:rsidRPr="00005410" w:rsidRDefault="00A07B22" w:rsidP="00A2350A">
            <w:pPr>
              <w:keepNext/>
              <w:ind w:left="-57"/>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Podkarpackie</w:t>
            </w:r>
          </w:p>
        </w:tc>
        <w:tc>
          <w:tcPr>
            <w:tcW w:w="1090" w:type="dxa"/>
            <w:tcBorders>
              <w:top w:val="nil"/>
              <w:bottom w:val="nil"/>
            </w:tcBorders>
            <w:vAlign w:val="bottom"/>
          </w:tcPr>
          <w:p w:rsidR="00A07B22" w:rsidRPr="00005410" w:rsidRDefault="004F555F" w:rsidP="00163A29">
            <w:pPr>
              <w:pStyle w:val="tekstgl"/>
              <w:spacing w:after="0"/>
              <w:ind w:firstLine="0"/>
              <w:jc w:val="right"/>
              <w:rPr>
                <w:rFonts w:ascii="Times New Roman" w:hAnsi="Times New Roman" w:cs="Times New Roman"/>
              </w:rPr>
            </w:pPr>
            <w:r w:rsidRPr="00005410">
              <w:rPr>
                <w:rFonts w:ascii="Times New Roman" w:hAnsi="Times New Roman" w:cs="Times New Roman"/>
                <w:color w:val="000000"/>
              </w:rPr>
              <w:t>4,6</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4,7</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4,0</w:t>
            </w:r>
          </w:p>
        </w:tc>
        <w:tc>
          <w:tcPr>
            <w:tcW w:w="1090"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4,5</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4,9</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3,5</w:t>
            </w:r>
          </w:p>
        </w:tc>
        <w:tc>
          <w:tcPr>
            <w:tcW w:w="1091" w:type="dxa"/>
            <w:tcBorders>
              <w:top w:val="nil"/>
              <w:bottom w:val="nil"/>
              <w:right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5,7</w:t>
            </w:r>
          </w:p>
        </w:tc>
      </w:tr>
      <w:tr w:rsidR="00A07B22" w:rsidRPr="00005410" w:rsidTr="00A2350A">
        <w:tc>
          <w:tcPr>
            <w:tcW w:w="1545" w:type="dxa"/>
            <w:tcBorders>
              <w:top w:val="nil"/>
              <w:left w:val="nil"/>
              <w:bottom w:val="nil"/>
            </w:tcBorders>
            <w:vAlign w:val="bottom"/>
          </w:tcPr>
          <w:p w:rsidR="00A07B22" w:rsidRPr="00005410" w:rsidRDefault="00A07B22" w:rsidP="00A2350A">
            <w:pPr>
              <w:keepNext/>
              <w:ind w:left="-57"/>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Podlaskie</w:t>
            </w:r>
          </w:p>
        </w:tc>
        <w:tc>
          <w:tcPr>
            <w:tcW w:w="1090" w:type="dxa"/>
            <w:tcBorders>
              <w:top w:val="nil"/>
              <w:bottom w:val="nil"/>
            </w:tcBorders>
            <w:vAlign w:val="bottom"/>
          </w:tcPr>
          <w:p w:rsidR="00A07B22" w:rsidRPr="00005410" w:rsidRDefault="004F555F" w:rsidP="00163A29">
            <w:pPr>
              <w:pStyle w:val="tekstgl"/>
              <w:spacing w:after="0"/>
              <w:ind w:firstLine="0"/>
              <w:jc w:val="right"/>
              <w:rPr>
                <w:rFonts w:ascii="Times New Roman" w:hAnsi="Times New Roman" w:cs="Times New Roman"/>
              </w:rPr>
            </w:pPr>
            <w:r w:rsidRPr="00005410">
              <w:rPr>
                <w:rFonts w:ascii="Times New Roman" w:hAnsi="Times New Roman" w:cs="Times New Roman"/>
                <w:color w:val="000000"/>
              </w:rPr>
              <w:t>2,4</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2,4</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2,1</w:t>
            </w:r>
          </w:p>
        </w:tc>
        <w:tc>
          <w:tcPr>
            <w:tcW w:w="1090"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2,6</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2,1</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2,9</w:t>
            </w:r>
          </w:p>
        </w:tc>
        <w:tc>
          <w:tcPr>
            <w:tcW w:w="1091" w:type="dxa"/>
            <w:tcBorders>
              <w:top w:val="nil"/>
              <w:bottom w:val="nil"/>
              <w:right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1,9</w:t>
            </w:r>
          </w:p>
        </w:tc>
      </w:tr>
      <w:tr w:rsidR="00A07B22" w:rsidRPr="00005410" w:rsidTr="00A2350A">
        <w:tc>
          <w:tcPr>
            <w:tcW w:w="1545" w:type="dxa"/>
            <w:tcBorders>
              <w:top w:val="nil"/>
              <w:left w:val="nil"/>
              <w:bottom w:val="nil"/>
            </w:tcBorders>
            <w:vAlign w:val="bottom"/>
          </w:tcPr>
          <w:p w:rsidR="00A07B22" w:rsidRPr="00005410" w:rsidRDefault="00A07B22" w:rsidP="00A2350A">
            <w:pPr>
              <w:keepNext/>
              <w:ind w:left="-57"/>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Pomorskie</w:t>
            </w:r>
          </w:p>
        </w:tc>
        <w:tc>
          <w:tcPr>
            <w:tcW w:w="1090" w:type="dxa"/>
            <w:tcBorders>
              <w:top w:val="nil"/>
              <w:bottom w:val="nil"/>
            </w:tcBorders>
            <w:vAlign w:val="bottom"/>
          </w:tcPr>
          <w:p w:rsidR="00A07B22" w:rsidRPr="00005410" w:rsidRDefault="004F555F" w:rsidP="00163A29">
            <w:pPr>
              <w:pStyle w:val="tekstgl"/>
              <w:spacing w:after="0"/>
              <w:ind w:firstLine="0"/>
              <w:jc w:val="right"/>
              <w:rPr>
                <w:rFonts w:ascii="Times New Roman" w:hAnsi="Times New Roman" w:cs="Times New Roman"/>
              </w:rPr>
            </w:pPr>
            <w:r w:rsidRPr="00005410">
              <w:rPr>
                <w:rFonts w:ascii="Times New Roman" w:hAnsi="Times New Roman" w:cs="Times New Roman"/>
                <w:color w:val="000000"/>
              </w:rPr>
              <w:t>6,1</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6,2</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3,8</w:t>
            </w:r>
          </w:p>
        </w:tc>
        <w:tc>
          <w:tcPr>
            <w:tcW w:w="1090"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6,0</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6,4</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6,1</w:t>
            </w:r>
          </w:p>
        </w:tc>
        <w:tc>
          <w:tcPr>
            <w:tcW w:w="1091" w:type="dxa"/>
            <w:tcBorders>
              <w:top w:val="nil"/>
              <w:bottom w:val="nil"/>
              <w:right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6,2</w:t>
            </w:r>
          </w:p>
        </w:tc>
      </w:tr>
      <w:tr w:rsidR="00A07B22" w:rsidRPr="00005410" w:rsidTr="00A2350A">
        <w:tc>
          <w:tcPr>
            <w:tcW w:w="1545" w:type="dxa"/>
            <w:tcBorders>
              <w:top w:val="nil"/>
              <w:left w:val="nil"/>
              <w:bottom w:val="nil"/>
            </w:tcBorders>
            <w:vAlign w:val="bottom"/>
          </w:tcPr>
          <w:p w:rsidR="00A07B22" w:rsidRPr="00005410" w:rsidRDefault="00A07B22" w:rsidP="00A2350A">
            <w:pPr>
              <w:keepNext/>
              <w:ind w:left="-57"/>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Śląskie</w:t>
            </w:r>
          </w:p>
        </w:tc>
        <w:tc>
          <w:tcPr>
            <w:tcW w:w="1090" w:type="dxa"/>
            <w:tcBorders>
              <w:top w:val="nil"/>
              <w:bottom w:val="nil"/>
            </w:tcBorders>
            <w:vAlign w:val="bottom"/>
          </w:tcPr>
          <w:p w:rsidR="00A07B22" w:rsidRPr="00005410" w:rsidRDefault="004F555F" w:rsidP="00163A29">
            <w:pPr>
              <w:pStyle w:val="tekstgl"/>
              <w:spacing w:after="0"/>
              <w:ind w:firstLine="0"/>
              <w:jc w:val="right"/>
              <w:rPr>
                <w:rFonts w:ascii="Times New Roman" w:hAnsi="Times New Roman" w:cs="Times New Roman"/>
              </w:rPr>
            </w:pPr>
            <w:r w:rsidRPr="00005410">
              <w:rPr>
                <w:rFonts w:ascii="Times New Roman" w:hAnsi="Times New Roman" w:cs="Times New Roman"/>
                <w:color w:val="000000"/>
              </w:rPr>
              <w:t>13,8</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14,0</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9,3</w:t>
            </w:r>
          </w:p>
        </w:tc>
        <w:tc>
          <w:tcPr>
            <w:tcW w:w="1090"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11,7</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18,2</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13,2</w:t>
            </w:r>
          </w:p>
        </w:tc>
        <w:tc>
          <w:tcPr>
            <w:tcW w:w="1091" w:type="dxa"/>
            <w:tcBorders>
              <w:top w:val="nil"/>
              <w:bottom w:val="nil"/>
              <w:right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14,4</w:t>
            </w:r>
          </w:p>
        </w:tc>
      </w:tr>
      <w:tr w:rsidR="00A07B22" w:rsidRPr="00005410" w:rsidTr="00A2350A">
        <w:tc>
          <w:tcPr>
            <w:tcW w:w="1545" w:type="dxa"/>
            <w:tcBorders>
              <w:top w:val="nil"/>
              <w:left w:val="nil"/>
              <w:bottom w:val="nil"/>
            </w:tcBorders>
            <w:vAlign w:val="bottom"/>
          </w:tcPr>
          <w:p w:rsidR="00A07B22" w:rsidRPr="00005410" w:rsidRDefault="00A07B22" w:rsidP="00A2350A">
            <w:pPr>
              <w:keepNext/>
              <w:ind w:left="-57"/>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Świętokrzyskie</w:t>
            </w:r>
          </w:p>
        </w:tc>
        <w:tc>
          <w:tcPr>
            <w:tcW w:w="1090" w:type="dxa"/>
            <w:tcBorders>
              <w:top w:val="nil"/>
              <w:bottom w:val="nil"/>
            </w:tcBorders>
            <w:vAlign w:val="bottom"/>
          </w:tcPr>
          <w:p w:rsidR="00A07B22" w:rsidRPr="00005410" w:rsidRDefault="004F555F" w:rsidP="00163A29">
            <w:pPr>
              <w:pStyle w:val="tekstgl"/>
              <w:spacing w:after="0"/>
              <w:ind w:firstLine="0"/>
              <w:jc w:val="right"/>
              <w:rPr>
                <w:rFonts w:ascii="Times New Roman" w:hAnsi="Times New Roman" w:cs="Times New Roman"/>
              </w:rPr>
            </w:pPr>
            <w:r w:rsidRPr="00005410">
              <w:rPr>
                <w:rFonts w:ascii="Times New Roman" w:hAnsi="Times New Roman" w:cs="Times New Roman"/>
                <w:color w:val="000000"/>
              </w:rPr>
              <w:t>2,7</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2,6</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5,5</w:t>
            </w:r>
          </w:p>
        </w:tc>
        <w:tc>
          <w:tcPr>
            <w:tcW w:w="1090"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2,8</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2,6</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2,4</w:t>
            </w:r>
          </w:p>
        </w:tc>
        <w:tc>
          <w:tcPr>
            <w:tcW w:w="1091" w:type="dxa"/>
            <w:tcBorders>
              <w:top w:val="nil"/>
              <w:bottom w:val="nil"/>
              <w:right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3,0</w:t>
            </w:r>
          </w:p>
        </w:tc>
      </w:tr>
      <w:tr w:rsidR="00A07B22" w:rsidRPr="00005410" w:rsidTr="00A2350A">
        <w:tc>
          <w:tcPr>
            <w:tcW w:w="1545" w:type="dxa"/>
            <w:tcBorders>
              <w:top w:val="nil"/>
              <w:left w:val="nil"/>
              <w:bottom w:val="nil"/>
            </w:tcBorders>
            <w:vAlign w:val="bottom"/>
          </w:tcPr>
          <w:p w:rsidR="00A07B22" w:rsidRPr="00005410" w:rsidRDefault="00A07B22" w:rsidP="00A2350A">
            <w:pPr>
              <w:keepNext/>
              <w:ind w:left="-57"/>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Warmińsko</w:t>
            </w:r>
            <w:r w:rsidR="00A2350A">
              <w:rPr>
                <w:rFonts w:ascii="Times New Roman" w:eastAsia="Times New Roman" w:hAnsi="Times New Roman" w:cs="Times New Roman"/>
                <w:color w:val="000000"/>
                <w:lang w:eastAsia="pl-PL"/>
              </w:rPr>
              <w:t>-</w:t>
            </w:r>
            <w:r w:rsidRPr="00005410">
              <w:rPr>
                <w:rFonts w:ascii="Times New Roman" w:eastAsia="Times New Roman" w:hAnsi="Times New Roman" w:cs="Times New Roman"/>
                <w:color w:val="000000"/>
                <w:lang w:eastAsia="pl-PL"/>
              </w:rPr>
              <w:t xml:space="preserve"> </w:t>
            </w:r>
            <w:r w:rsidR="00A2350A">
              <w:rPr>
                <w:rFonts w:ascii="Times New Roman" w:eastAsia="Times New Roman" w:hAnsi="Times New Roman" w:cs="Times New Roman"/>
                <w:color w:val="000000"/>
                <w:lang w:eastAsia="pl-PL"/>
              </w:rPr>
              <w:br/>
              <w:t>-</w:t>
            </w:r>
            <w:r w:rsidRPr="00005410">
              <w:rPr>
                <w:rFonts w:ascii="Times New Roman" w:eastAsia="Times New Roman" w:hAnsi="Times New Roman" w:cs="Times New Roman"/>
                <w:color w:val="000000"/>
                <w:lang w:eastAsia="pl-PL"/>
              </w:rPr>
              <w:t>mazurskie</w:t>
            </w:r>
          </w:p>
        </w:tc>
        <w:tc>
          <w:tcPr>
            <w:tcW w:w="1090" w:type="dxa"/>
            <w:tcBorders>
              <w:top w:val="nil"/>
              <w:bottom w:val="nil"/>
            </w:tcBorders>
            <w:vAlign w:val="bottom"/>
          </w:tcPr>
          <w:p w:rsidR="00A07B22" w:rsidRPr="00005410" w:rsidRDefault="004F555F" w:rsidP="00163A29">
            <w:pPr>
              <w:pStyle w:val="tekstgl"/>
              <w:spacing w:after="0" w:line="276" w:lineRule="auto"/>
              <w:ind w:firstLine="0"/>
              <w:jc w:val="right"/>
              <w:rPr>
                <w:rFonts w:ascii="Times New Roman" w:hAnsi="Times New Roman" w:cs="Times New Roman"/>
              </w:rPr>
            </w:pPr>
            <w:r w:rsidRPr="00005410">
              <w:rPr>
                <w:rFonts w:ascii="Times New Roman" w:hAnsi="Times New Roman" w:cs="Times New Roman"/>
                <w:color w:val="000000"/>
              </w:rPr>
              <w:t>2,8</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2,8</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4,2</w:t>
            </w:r>
          </w:p>
        </w:tc>
        <w:tc>
          <w:tcPr>
            <w:tcW w:w="1090"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3,2</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2,1</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2,8</w:t>
            </w:r>
          </w:p>
        </w:tc>
        <w:tc>
          <w:tcPr>
            <w:tcW w:w="1091" w:type="dxa"/>
            <w:tcBorders>
              <w:top w:val="nil"/>
              <w:bottom w:val="nil"/>
              <w:right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2,9</w:t>
            </w:r>
          </w:p>
        </w:tc>
      </w:tr>
      <w:tr w:rsidR="00A07B22" w:rsidRPr="00005410" w:rsidTr="00A2350A">
        <w:tc>
          <w:tcPr>
            <w:tcW w:w="1545" w:type="dxa"/>
            <w:tcBorders>
              <w:top w:val="nil"/>
              <w:left w:val="nil"/>
              <w:bottom w:val="nil"/>
            </w:tcBorders>
            <w:vAlign w:val="bottom"/>
          </w:tcPr>
          <w:p w:rsidR="00A07B22" w:rsidRPr="00005410" w:rsidRDefault="00A07B22" w:rsidP="00A2350A">
            <w:pPr>
              <w:keepNext/>
              <w:ind w:left="-57"/>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Wielkopolskie</w:t>
            </w:r>
          </w:p>
        </w:tc>
        <w:tc>
          <w:tcPr>
            <w:tcW w:w="1090" w:type="dxa"/>
            <w:tcBorders>
              <w:top w:val="nil"/>
              <w:bottom w:val="nil"/>
            </w:tcBorders>
            <w:vAlign w:val="bottom"/>
          </w:tcPr>
          <w:p w:rsidR="00A07B22" w:rsidRPr="00005410" w:rsidRDefault="004F555F" w:rsidP="00163A29">
            <w:pPr>
              <w:pStyle w:val="tekstgl"/>
              <w:spacing w:after="0"/>
              <w:ind w:firstLine="0"/>
              <w:jc w:val="right"/>
              <w:rPr>
                <w:rFonts w:ascii="Times New Roman" w:hAnsi="Times New Roman" w:cs="Times New Roman"/>
              </w:rPr>
            </w:pPr>
            <w:r w:rsidRPr="00005410">
              <w:rPr>
                <w:rFonts w:ascii="Times New Roman" w:hAnsi="Times New Roman" w:cs="Times New Roman"/>
                <w:color w:val="000000"/>
              </w:rPr>
              <w:t>9,6</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9,6</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7,8</w:t>
            </w:r>
          </w:p>
        </w:tc>
        <w:tc>
          <w:tcPr>
            <w:tcW w:w="1090"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9,7</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9,3</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8,5</w:t>
            </w:r>
          </w:p>
        </w:tc>
        <w:tc>
          <w:tcPr>
            <w:tcW w:w="1091" w:type="dxa"/>
            <w:tcBorders>
              <w:top w:val="nil"/>
              <w:bottom w:val="nil"/>
              <w:right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10,6</w:t>
            </w:r>
          </w:p>
        </w:tc>
      </w:tr>
      <w:tr w:rsidR="00A07B22" w:rsidRPr="00005410" w:rsidTr="00A2350A">
        <w:tc>
          <w:tcPr>
            <w:tcW w:w="1545" w:type="dxa"/>
            <w:tcBorders>
              <w:top w:val="nil"/>
              <w:left w:val="nil"/>
              <w:bottom w:val="nil"/>
            </w:tcBorders>
            <w:vAlign w:val="bottom"/>
          </w:tcPr>
          <w:p w:rsidR="00A07B22" w:rsidRPr="00005410" w:rsidRDefault="00A07B22" w:rsidP="00A2350A">
            <w:pPr>
              <w:keepNext/>
              <w:ind w:left="-57"/>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Zachodnio</w:t>
            </w:r>
            <w:r w:rsidR="00A2350A">
              <w:rPr>
                <w:rFonts w:ascii="Times New Roman" w:eastAsia="Times New Roman" w:hAnsi="Times New Roman" w:cs="Times New Roman"/>
                <w:color w:val="000000"/>
                <w:lang w:eastAsia="pl-PL"/>
              </w:rPr>
              <w:t>-</w:t>
            </w:r>
            <w:r w:rsidRPr="00005410">
              <w:rPr>
                <w:rFonts w:ascii="Times New Roman" w:eastAsia="Times New Roman" w:hAnsi="Times New Roman" w:cs="Times New Roman"/>
                <w:color w:val="000000"/>
                <w:lang w:eastAsia="pl-PL"/>
              </w:rPr>
              <w:t>pomorskie</w:t>
            </w:r>
          </w:p>
        </w:tc>
        <w:tc>
          <w:tcPr>
            <w:tcW w:w="1090" w:type="dxa"/>
            <w:tcBorders>
              <w:top w:val="nil"/>
              <w:bottom w:val="nil"/>
            </w:tcBorders>
            <w:vAlign w:val="bottom"/>
          </w:tcPr>
          <w:p w:rsidR="00A07B22" w:rsidRPr="00005410" w:rsidRDefault="004F555F" w:rsidP="00163A29">
            <w:pPr>
              <w:pStyle w:val="tekstgl"/>
              <w:spacing w:after="0" w:line="276" w:lineRule="auto"/>
              <w:ind w:firstLine="0"/>
              <w:jc w:val="right"/>
              <w:rPr>
                <w:rFonts w:ascii="Times New Roman" w:hAnsi="Times New Roman" w:cs="Times New Roman"/>
              </w:rPr>
            </w:pPr>
            <w:r w:rsidRPr="00005410">
              <w:rPr>
                <w:rFonts w:ascii="Times New Roman" w:hAnsi="Times New Roman" w:cs="Times New Roman"/>
                <w:color w:val="000000"/>
              </w:rPr>
              <w:t>3,9</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3,9</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3,6</w:t>
            </w:r>
          </w:p>
        </w:tc>
        <w:tc>
          <w:tcPr>
            <w:tcW w:w="1090"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4,3</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3,0</w:t>
            </w:r>
          </w:p>
        </w:tc>
        <w:tc>
          <w:tcPr>
            <w:tcW w:w="1091" w:type="dxa"/>
            <w:tcBorders>
              <w:top w:val="nil"/>
              <w:bottom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4,3</w:t>
            </w:r>
          </w:p>
        </w:tc>
        <w:tc>
          <w:tcPr>
            <w:tcW w:w="1091" w:type="dxa"/>
            <w:tcBorders>
              <w:top w:val="nil"/>
              <w:bottom w:val="nil"/>
              <w:right w:val="nil"/>
            </w:tcBorders>
            <w:vAlign w:val="bottom"/>
          </w:tcPr>
          <w:p w:rsidR="00A07B22" w:rsidRPr="00005410" w:rsidRDefault="00A07B22"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3,5</w:t>
            </w:r>
          </w:p>
        </w:tc>
      </w:tr>
      <w:tr w:rsidR="00163A29" w:rsidRPr="00005410" w:rsidTr="00A2350A">
        <w:trPr>
          <w:trHeight w:val="347"/>
        </w:trPr>
        <w:tc>
          <w:tcPr>
            <w:tcW w:w="9180" w:type="dxa"/>
            <w:gridSpan w:val="8"/>
            <w:tcBorders>
              <w:top w:val="nil"/>
              <w:left w:val="nil"/>
              <w:bottom w:val="nil"/>
              <w:right w:val="nil"/>
            </w:tcBorders>
            <w:vAlign w:val="center"/>
          </w:tcPr>
          <w:p w:rsidR="00163A29" w:rsidRPr="00A613E2" w:rsidRDefault="00163A29" w:rsidP="00163A29">
            <w:pPr>
              <w:pStyle w:val="tekstgl"/>
              <w:spacing w:after="0"/>
              <w:ind w:firstLine="0"/>
              <w:jc w:val="center"/>
              <w:rPr>
                <w:rFonts w:ascii="Times New Roman" w:hAnsi="Times New Roman" w:cs="Times New Roman"/>
              </w:rPr>
            </w:pPr>
            <w:r w:rsidRPr="00A613E2">
              <w:rPr>
                <w:rFonts w:ascii="Times New Roman" w:eastAsia="Times New Roman" w:hAnsi="Times New Roman" w:cs="Times New Roman"/>
                <w:i/>
                <w:color w:val="000000"/>
                <w:lang w:eastAsia="pl-PL"/>
              </w:rPr>
              <w:t>w liczbie dojeżdżających w jednostce przestrzennej</w:t>
            </w:r>
          </w:p>
        </w:tc>
      </w:tr>
      <w:tr w:rsidR="007038C9" w:rsidRPr="00005410" w:rsidTr="00A2350A">
        <w:tc>
          <w:tcPr>
            <w:tcW w:w="1545" w:type="dxa"/>
            <w:tcBorders>
              <w:top w:val="nil"/>
              <w:left w:val="nil"/>
              <w:bottom w:val="nil"/>
            </w:tcBorders>
            <w:vAlign w:val="bottom"/>
          </w:tcPr>
          <w:p w:rsidR="007038C9" w:rsidRPr="00005410" w:rsidRDefault="007038C9" w:rsidP="00A2350A">
            <w:pPr>
              <w:keepNext/>
              <w:ind w:left="-57"/>
              <w:rPr>
                <w:rFonts w:ascii="Times New Roman" w:eastAsia="Times New Roman" w:hAnsi="Times New Roman" w:cs="Times New Roman"/>
                <w:b/>
                <w:color w:val="000000"/>
                <w:lang w:eastAsia="pl-PL"/>
              </w:rPr>
            </w:pPr>
            <w:r w:rsidRPr="00005410">
              <w:rPr>
                <w:rFonts w:ascii="Times New Roman" w:eastAsia="Times New Roman" w:hAnsi="Times New Roman" w:cs="Times New Roman"/>
                <w:b/>
                <w:color w:val="000000"/>
                <w:lang w:eastAsia="pl-PL"/>
              </w:rPr>
              <w:t>Polska</w:t>
            </w:r>
          </w:p>
        </w:tc>
        <w:tc>
          <w:tcPr>
            <w:tcW w:w="1090" w:type="dxa"/>
            <w:tcBorders>
              <w:top w:val="nil"/>
              <w:bottom w:val="nil"/>
            </w:tcBorders>
          </w:tcPr>
          <w:p w:rsidR="007038C9" w:rsidRPr="00005410" w:rsidRDefault="00B86619" w:rsidP="00B86619">
            <w:pPr>
              <w:pStyle w:val="tekstgl"/>
              <w:spacing w:after="0"/>
              <w:ind w:firstLine="0"/>
              <w:jc w:val="right"/>
              <w:rPr>
                <w:rFonts w:ascii="Times New Roman" w:hAnsi="Times New Roman" w:cs="Times New Roman"/>
                <w:b/>
              </w:rPr>
            </w:pPr>
            <w:r w:rsidRPr="00005410">
              <w:rPr>
                <w:rFonts w:ascii="Times New Roman" w:hAnsi="Times New Roman" w:cs="Times New Roman"/>
                <w:b/>
              </w:rPr>
              <w:t>100,0</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b/>
                <w:color w:val="000000"/>
                <w:lang w:eastAsia="pl-PL"/>
              </w:rPr>
            </w:pPr>
            <w:r w:rsidRPr="00005410">
              <w:rPr>
                <w:rFonts w:ascii="Times New Roman" w:eastAsia="Times New Roman" w:hAnsi="Times New Roman" w:cs="Times New Roman"/>
                <w:b/>
                <w:color w:val="000000"/>
                <w:lang w:eastAsia="pl-PL"/>
              </w:rPr>
              <w:t>96,3</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b/>
                <w:color w:val="000000"/>
                <w:lang w:eastAsia="pl-PL"/>
              </w:rPr>
            </w:pPr>
            <w:r w:rsidRPr="00005410">
              <w:rPr>
                <w:rFonts w:ascii="Times New Roman" w:eastAsia="Times New Roman" w:hAnsi="Times New Roman" w:cs="Times New Roman"/>
                <w:b/>
                <w:color w:val="000000"/>
                <w:lang w:eastAsia="pl-PL"/>
              </w:rPr>
              <w:t>3,7</w:t>
            </w:r>
          </w:p>
        </w:tc>
        <w:tc>
          <w:tcPr>
            <w:tcW w:w="1090"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b/>
                <w:color w:val="000000"/>
                <w:lang w:eastAsia="pl-PL"/>
              </w:rPr>
            </w:pPr>
            <w:r w:rsidRPr="00005410">
              <w:rPr>
                <w:rFonts w:ascii="Times New Roman" w:eastAsia="Times New Roman" w:hAnsi="Times New Roman" w:cs="Times New Roman"/>
                <w:b/>
                <w:color w:val="000000"/>
                <w:lang w:eastAsia="pl-PL"/>
              </w:rPr>
              <w:t>67,7</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b/>
                <w:color w:val="000000"/>
                <w:lang w:eastAsia="pl-PL"/>
              </w:rPr>
            </w:pPr>
            <w:r w:rsidRPr="00005410">
              <w:rPr>
                <w:rFonts w:ascii="Times New Roman" w:eastAsia="Times New Roman" w:hAnsi="Times New Roman" w:cs="Times New Roman"/>
                <w:b/>
                <w:color w:val="000000"/>
                <w:lang w:eastAsia="pl-PL"/>
              </w:rPr>
              <w:t>32,3</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b/>
                <w:color w:val="000000"/>
                <w:lang w:eastAsia="pl-PL"/>
              </w:rPr>
            </w:pPr>
            <w:r w:rsidRPr="00005410">
              <w:rPr>
                <w:rFonts w:ascii="Times New Roman" w:eastAsia="Times New Roman" w:hAnsi="Times New Roman" w:cs="Times New Roman"/>
                <w:b/>
                <w:color w:val="000000"/>
                <w:lang w:eastAsia="pl-PL"/>
              </w:rPr>
              <w:t>49,0</w:t>
            </w:r>
          </w:p>
        </w:tc>
        <w:tc>
          <w:tcPr>
            <w:tcW w:w="1091" w:type="dxa"/>
            <w:tcBorders>
              <w:top w:val="nil"/>
              <w:bottom w:val="nil"/>
              <w:right w:val="nil"/>
            </w:tcBorders>
            <w:vAlign w:val="bottom"/>
          </w:tcPr>
          <w:p w:rsidR="007038C9" w:rsidRPr="00005410" w:rsidRDefault="007038C9" w:rsidP="008E4C71">
            <w:pPr>
              <w:keepNext/>
              <w:jc w:val="right"/>
              <w:rPr>
                <w:rFonts w:ascii="Times New Roman" w:eastAsia="Times New Roman" w:hAnsi="Times New Roman" w:cs="Times New Roman"/>
                <w:b/>
                <w:color w:val="000000"/>
                <w:lang w:eastAsia="pl-PL"/>
              </w:rPr>
            </w:pPr>
            <w:r w:rsidRPr="00005410">
              <w:rPr>
                <w:rFonts w:ascii="Times New Roman" w:eastAsia="Times New Roman" w:hAnsi="Times New Roman" w:cs="Times New Roman"/>
                <w:b/>
                <w:color w:val="000000"/>
                <w:lang w:eastAsia="pl-PL"/>
              </w:rPr>
              <w:t>51,0</w:t>
            </w:r>
          </w:p>
        </w:tc>
      </w:tr>
      <w:tr w:rsidR="007038C9" w:rsidRPr="00005410" w:rsidTr="00A2350A">
        <w:tc>
          <w:tcPr>
            <w:tcW w:w="1545" w:type="dxa"/>
            <w:tcBorders>
              <w:top w:val="nil"/>
              <w:left w:val="nil"/>
              <w:bottom w:val="nil"/>
            </w:tcBorders>
            <w:vAlign w:val="bottom"/>
          </w:tcPr>
          <w:p w:rsidR="007038C9" w:rsidRPr="00005410" w:rsidRDefault="007038C9" w:rsidP="00A2350A">
            <w:pPr>
              <w:keepNext/>
              <w:ind w:left="-57"/>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Dolnośląskie</w:t>
            </w:r>
          </w:p>
        </w:tc>
        <w:tc>
          <w:tcPr>
            <w:tcW w:w="1090" w:type="dxa"/>
            <w:tcBorders>
              <w:top w:val="nil"/>
              <w:bottom w:val="nil"/>
            </w:tcBorders>
          </w:tcPr>
          <w:p w:rsidR="007038C9" w:rsidRPr="00005410" w:rsidRDefault="00B86619" w:rsidP="00B86619">
            <w:pPr>
              <w:pStyle w:val="tekstgl"/>
              <w:spacing w:after="0"/>
              <w:ind w:firstLine="0"/>
              <w:jc w:val="right"/>
              <w:rPr>
                <w:rFonts w:ascii="Times New Roman" w:hAnsi="Times New Roman" w:cs="Times New Roman"/>
              </w:rPr>
            </w:pPr>
            <w:r w:rsidRPr="00005410">
              <w:rPr>
                <w:rFonts w:ascii="Times New Roman" w:hAnsi="Times New Roman" w:cs="Times New Roman"/>
              </w:rPr>
              <w:t>100,0</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97,7</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2,3</w:t>
            </w:r>
          </w:p>
        </w:tc>
        <w:tc>
          <w:tcPr>
            <w:tcW w:w="1090"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72,0</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28,0</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50,6</w:t>
            </w:r>
          </w:p>
        </w:tc>
        <w:tc>
          <w:tcPr>
            <w:tcW w:w="1091" w:type="dxa"/>
            <w:tcBorders>
              <w:top w:val="nil"/>
              <w:bottom w:val="nil"/>
              <w:right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49,4</w:t>
            </w:r>
          </w:p>
        </w:tc>
      </w:tr>
      <w:tr w:rsidR="007038C9" w:rsidRPr="00005410" w:rsidTr="00A2350A">
        <w:tc>
          <w:tcPr>
            <w:tcW w:w="1545" w:type="dxa"/>
            <w:tcBorders>
              <w:top w:val="nil"/>
              <w:left w:val="nil"/>
              <w:bottom w:val="nil"/>
            </w:tcBorders>
            <w:vAlign w:val="bottom"/>
          </w:tcPr>
          <w:p w:rsidR="007038C9" w:rsidRPr="00005410" w:rsidRDefault="007038C9" w:rsidP="00A2350A">
            <w:pPr>
              <w:keepNext/>
              <w:ind w:left="-57"/>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Kujawsko</w:t>
            </w:r>
            <w:r w:rsidR="00A2350A">
              <w:rPr>
                <w:rFonts w:ascii="Times New Roman" w:eastAsia="Times New Roman" w:hAnsi="Times New Roman" w:cs="Times New Roman"/>
                <w:color w:val="000000"/>
                <w:lang w:eastAsia="pl-PL"/>
              </w:rPr>
              <w:t>-</w:t>
            </w:r>
            <w:r w:rsidR="00A2350A">
              <w:rPr>
                <w:rFonts w:ascii="Times New Roman" w:eastAsia="Times New Roman" w:hAnsi="Times New Roman" w:cs="Times New Roman"/>
                <w:color w:val="000000"/>
                <w:lang w:eastAsia="pl-PL"/>
              </w:rPr>
              <w:br/>
              <w:t>-</w:t>
            </w:r>
            <w:r w:rsidRPr="00005410">
              <w:rPr>
                <w:rFonts w:ascii="Times New Roman" w:eastAsia="Times New Roman" w:hAnsi="Times New Roman" w:cs="Times New Roman"/>
                <w:color w:val="000000"/>
                <w:lang w:eastAsia="pl-PL"/>
              </w:rPr>
              <w:t>pomorskie</w:t>
            </w:r>
          </w:p>
        </w:tc>
        <w:tc>
          <w:tcPr>
            <w:tcW w:w="1090" w:type="dxa"/>
            <w:tcBorders>
              <w:top w:val="nil"/>
              <w:bottom w:val="nil"/>
            </w:tcBorders>
          </w:tcPr>
          <w:p w:rsidR="00B86619" w:rsidRPr="00005410" w:rsidRDefault="00B86619" w:rsidP="00B86619">
            <w:pPr>
              <w:pStyle w:val="tekstgl"/>
              <w:spacing w:after="0"/>
              <w:ind w:firstLine="0"/>
              <w:jc w:val="right"/>
              <w:rPr>
                <w:rFonts w:ascii="Times New Roman" w:hAnsi="Times New Roman" w:cs="Times New Roman"/>
              </w:rPr>
            </w:pPr>
          </w:p>
          <w:p w:rsidR="007038C9" w:rsidRPr="00005410" w:rsidRDefault="00B86619" w:rsidP="00B86619">
            <w:pPr>
              <w:pStyle w:val="tekstgl"/>
              <w:spacing w:after="0"/>
              <w:ind w:firstLine="0"/>
              <w:jc w:val="right"/>
              <w:rPr>
                <w:rFonts w:ascii="Times New Roman" w:hAnsi="Times New Roman" w:cs="Times New Roman"/>
              </w:rPr>
            </w:pPr>
            <w:r w:rsidRPr="00005410">
              <w:rPr>
                <w:rFonts w:ascii="Times New Roman" w:hAnsi="Times New Roman" w:cs="Times New Roman"/>
              </w:rPr>
              <w:t>100,0</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95,8</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4,2</w:t>
            </w:r>
          </w:p>
        </w:tc>
        <w:tc>
          <w:tcPr>
            <w:tcW w:w="1090"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71,2</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28,8</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54,7</w:t>
            </w:r>
          </w:p>
        </w:tc>
        <w:tc>
          <w:tcPr>
            <w:tcW w:w="1091" w:type="dxa"/>
            <w:tcBorders>
              <w:top w:val="nil"/>
              <w:bottom w:val="nil"/>
              <w:right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45,3</w:t>
            </w:r>
          </w:p>
        </w:tc>
      </w:tr>
      <w:tr w:rsidR="007038C9" w:rsidRPr="00005410" w:rsidTr="00A2350A">
        <w:tc>
          <w:tcPr>
            <w:tcW w:w="1545" w:type="dxa"/>
            <w:tcBorders>
              <w:top w:val="nil"/>
              <w:left w:val="nil"/>
              <w:bottom w:val="nil"/>
            </w:tcBorders>
            <w:vAlign w:val="bottom"/>
          </w:tcPr>
          <w:p w:rsidR="007038C9" w:rsidRPr="00005410" w:rsidRDefault="007038C9" w:rsidP="00A2350A">
            <w:pPr>
              <w:keepNext/>
              <w:ind w:left="-57"/>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Lubelskie</w:t>
            </w:r>
          </w:p>
        </w:tc>
        <w:tc>
          <w:tcPr>
            <w:tcW w:w="1090" w:type="dxa"/>
            <w:tcBorders>
              <w:top w:val="nil"/>
              <w:bottom w:val="nil"/>
            </w:tcBorders>
          </w:tcPr>
          <w:p w:rsidR="007038C9" w:rsidRPr="00005410" w:rsidRDefault="00B86619" w:rsidP="00B86619">
            <w:pPr>
              <w:pStyle w:val="tekstgl"/>
              <w:spacing w:after="0"/>
              <w:ind w:firstLine="0"/>
              <w:jc w:val="right"/>
              <w:rPr>
                <w:rFonts w:ascii="Times New Roman" w:hAnsi="Times New Roman" w:cs="Times New Roman"/>
              </w:rPr>
            </w:pPr>
            <w:r w:rsidRPr="00005410">
              <w:rPr>
                <w:rFonts w:ascii="Times New Roman" w:hAnsi="Times New Roman" w:cs="Times New Roman"/>
              </w:rPr>
              <w:t>100,0</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94,5</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5,5</w:t>
            </w:r>
          </w:p>
        </w:tc>
        <w:tc>
          <w:tcPr>
            <w:tcW w:w="1090"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68,8</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31,2</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47,7</w:t>
            </w:r>
          </w:p>
        </w:tc>
        <w:tc>
          <w:tcPr>
            <w:tcW w:w="1091" w:type="dxa"/>
            <w:tcBorders>
              <w:top w:val="nil"/>
              <w:bottom w:val="nil"/>
              <w:right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52,3</w:t>
            </w:r>
          </w:p>
        </w:tc>
      </w:tr>
      <w:tr w:rsidR="007038C9" w:rsidRPr="00005410" w:rsidTr="00A2350A">
        <w:tc>
          <w:tcPr>
            <w:tcW w:w="1545" w:type="dxa"/>
            <w:tcBorders>
              <w:top w:val="nil"/>
              <w:left w:val="nil"/>
              <w:bottom w:val="nil"/>
            </w:tcBorders>
            <w:vAlign w:val="bottom"/>
          </w:tcPr>
          <w:p w:rsidR="007038C9" w:rsidRPr="00005410" w:rsidRDefault="007038C9" w:rsidP="00A2350A">
            <w:pPr>
              <w:keepNext/>
              <w:ind w:left="-57"/>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Lubuskie</w:t>
            </w:r>
          </w:p>
        </w:tc>
        <w:tc>
          <w:tcPr>
            <w:tcW w:w="1090" w:type="dxa"/>
            <w:tcBorders>
              <w:top w:val="nil"/>
              <w:bottom w:val="nil"/>
            </w:tcBorders>
          </w:tcPr>
          <w:p w:rsidR="007038C9" w:rsidRPr="00005410" w:rsidRDefault="00B86619" w:rsidP="00B86619">
            <w:pPr>
              <w:pStyle w:val="tekstgl"/>
              <w:spacing w:after="0"/>
              <w:ind w:firstLine="0"/>
              <w:jc w:val="right"/>
              <w:rPr>
                <w:rFonts w:ascii="Times New Roman" w:hAnsi="Times New Roman" w:cs="Times New Roman"/>
              </w:rPr>
            </w:pPr>
            <w:r w:rsidRPr="00005410">
              <w:rPr>
                <w:rFonts w:ascii="Times New Roman" w:hAnsi="Times New Roman" w:cs="Times New Roman"/>
              </w:rPr>
              <w:t>100,0</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93,9</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6,1</w:t>
            </w:r>
          </w:p>
        </w:tc>
        <w:tc>
          <w:tcPr>
            <w:tcW w:w="1090"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70,3</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29,7</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45,9</w:t>
            </w:r>
          </w:p>
        </w:tc>
        <w:tc>
          <w:tcPr>
            <w:tcW w:w="1091" w:type="dxa"/>
            <w:tcBorders>
              <w:top w:val="nil"/>
              <w:bottom w:val="nil"/>
              <w:right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54,1</w:t>
            </w:r>
          </w:p>
        </w:tc>
      </w:tr>
      <w:tr w:rsidR="007038C9" w:rsidRPr="00005410" w:rsidTr="00A2350A">
        <w:tc>
          <w:tcPr>
            <w:tcW w:w="1545" w:type="dxa"/>
            <w:tcBorders>
              <w:top w:val="nil"/>
              <w:left w:val="nil"/>
              <w:bottom w:val="nil"/>
            </w:tcBorders>
            <w:vAlign w:val="bottom"/>
          </w:tcPr>
          <w:p w:rsidR="007038C9" w:rsidRPr="00005410" w:rsidRDefault="007038C9" w:rsidP="00A2350A">
            <w:pPr>
              <w:keepNext/>
              <w:ind w:left="-57"/>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Łódzkie</w:t>
            </w:r>
          </w:p>
        </w:tc>
        <w:tc>
          <w:tcPr>
            <w:tcW w:w="1090" w:type="dxa"/>
            <w:tcBorders>
              <w:top w:val="nil"/>
              <w:bottom w:val="nil"/>
            </w:tcBorders>
          </w:tcPr>
          <w:p w:rsidR="007038C9" w:rsidRPr="00005410" w:rsidRDefault="00B86619" w:rsidP="00B86619">
            <w:pPr>
              <w:pStyle w:val="tekstgl"/>
              <w:spacing w:after="0"/>
              <w:ind w:firstLine="0"/>
              <w:jc w:val="right"/>
              <w:rPr>
                <w:rFonts w:ascii="Times New Roman" w:hAnsi="Times New Roman" w:cs="Times New Roman"/>
              </w:rPr>
            </w:pPr>
            <w:r w:rsidRPr="00005410">
              <w:rPr>
                <w:rFonts w:ascii="Times New Roman" w:hAnsi="Times New Roman" w:cs="Times New Roman"/>
              </w:rPr>
              <w:t>100,0</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93,8</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6,2</w:t>
            </w:r>
          </w:p>
        </w:tc>
        <w:tc>
          <w:tcPr>
            <w:tcW w:w="1090"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73,3</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26,7</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55,3</w:t>
            </w:r>
          </w:p>
        </w:tc>
        <w:tc>
          <w:tcPr>
            <w:tcW w:w="1091" w:type="dxa"/>
            <w:tcBorders>
              <w:top w:val="nil"/>
              <w:bottom w:val="nil"/>
              <w:right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44,7</w:t>
            </w:r>
          </w:p>
        </w:tc>
      </w:tr>
      <w:tr w:rsidR="007038C9" w:rsidRPr="00005410" w:rsidTr="00A2350A">
        <w:tc>
          <w:tcPr>
            <w:tcW w:w="1545" w:type="dxa"/>
            <w:tcBorders>
              <w:top w:val="nil"/>
              <w:left w:val="nil"/>
              <w:bottom w:val="nil"/>
            </w:tcBorders>
            <w:vAlign w:val="bottom"/>
          </w:tcPr>
          <w:p w:rsidR="007038C9" w:rsidRPr="00005410" w:rsidRDefault="007038C9" w:rsidP="00A2350A">
            <w:pPr>
              <w:keepNext/>
              <w:ind w:left="-57"/>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Małopolskie</w:t>
            </w:r>
          </w:p>
        </w:tc>
        <w:tc>
          <w:tcPr>
            <w:tcW w:w="1090" w:type="dxa"/>
            <w:tcBorders>
              <w:top w:val="nil"/>
              <w:bottom w:val="nil"/>
            </w:tcBorders>
          </w:tcPr>
          <w:p w:rsidR="007038C9" w:rsidRPr="00005410" w:rsidRDefault="00B86619" w:rsidP="00B86619">
            <w:pPr>
              <w:pStyle w:val="tekstgl"/>
              <w:spacing w:after="0"/>
              <w:ind w:firstLine="0"/>
              <w:jc w:val="right"/>
              <w:rPr>
                <w:rFonts w:ascii="Times New Roman" w:hAnsi="Times New Roman" w:cs="Times New Roman"/>
              </w:rPr>
            </w:pPr>
            <w:r w:rsidRPr="00005410">
              <w:rPr>
                <w:rFonts w:ascii="Times New Roman" w:hAnsi="Times New Roman" w:cs="Times New Roman"/>
              </w:rPr>
              <w:t>100,0</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93,9</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6,1</w:t>
            </w:r>
          </w:p>
        </w:tc>
        <w:tc>
          <w:tcPr>
            <w:tcW w:w="1090"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66,4</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33,6</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45,7</w:t>
            </w:r>
          </w:p>
        </w:tc>
        <w:tc>
          <w:tcPr>
            <w:tcW w:w="1091" w:type="dxa"/>
            <w:tcBorders>
              <w:top w:val="nil"/>
              <w:bottom w:val="nil"/>
              <w:right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54,3</w:t>
            </w:r>
          </w:p>
        </w:tc>
      </w:tr>
      <w:tr w:rsidR="007038C9" w:rsidRPr="00005410" w:rsidTr="00A2350A">
        <w:tc>
          <w:tcPr>
            <w:tcW w:w="1545" w:type="dxa"/>
            <w:tcBorders>
              <w:top w:val="nil"/>
              <w:left w:val="nil"/>
              <w:bottom w:val="nil"/>
            </w:tcBorders>
            <w:vAlign w:val="bottom"/>
          </w:tcPr>
          <w:p w:rsidR="007038C9" w:rsidRPr="00005410" w:rsidRDefault="007038C9" w:rsidP="00A2350A">
            <w:pPr>
              <w:keepNext/>
              <w:ind w:left="-57"/>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Mazowieckie</w:t>
            </w:r>
          </w:p>
        </w:tc>
        <w:tc>
          <w:tcPr>
            <w:tcW w:w="1090" w:type="dxa"/>
            <w:tcBorders>
              <w:top w:val="nil"/>
              <w:bottom w:val="nil"/>
            </w:tcBorders>
          </w:tcPr>
          <w:p w:rsidR="007038C9" w:rsidRPr="00005410" w:rsidRDefault="00B86619" w:rsidP="00B86619">
            <w:pPr>
              <w:pStyle w:val="tekstgl"/>
              <w:spacing w:after="0"/>
              <w:ind w:firstLine="0"/>
              <w:jc w:val="right"/>
              <w:rPr>
                <w:rFonts w:ascii="Times New Roman" w:hAnsi="Times New Roman" w:cs="Times New Roman"/>
              </w:rPr>
            </w:pPr>
            <w:r w:rsidRPr="00005410">
              <w:rPr>
                <w:rFonts w:ascii="Times New Roman" w:hAnsi="Times New Roman" w:cs="Times New Roman"/>
              </w:rPr>
              <w:t>100,0</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98,5</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1,5</w:t>
            </w:r>
          </w:p>
        </w:tc>
        <w:tc>
          <w:tcPr>
            <w:tcW w:w="1090"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67,2</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32,8</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54,7</w:t>
            </w:r>
          </w:p>
        </w:tc>
        <w:tc>
          <w:tcPr>
            <w:tcW w:w="1091" w:type="dxa"/>
            <w:tcBorders>
              <w:top w:val="nil"/>
              <w:bottom w:val="nil"/>
              <w:right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45,3</w:t>
            </w:r>
          </w:p>
        </w:tc>
      </w:tr>
      <w:tr w:rsidR="007038C9" w:rsidRPr="00005410" w:rsidTr="00A2350A">
        <w:tc>
          <w:tcPr>
            <w:tcW w:w="1545" w:type="dxa"/>
            <w:tcBorders>
              <w:top w:val="nil"/>
              <w:left w:val="nil"/>
              <w:bottom w:val="nil"/>
            </w:tcBorders>
            <w:vAlign w:val="bottom"/>
          </w:tcPr>
          <w:p w:rsidR="007038C9" w:rsidRPr="00005410" w:rsidRDefault="007038C9" w:rsidP="00A2350A">
            <w:pPr>
              <w:keepNext/>
              <w:ind w:left="-57"/>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Opolskie</w:t>
            </w:r>
          </w:p>
        </w:tc>
        <w:tc>
          <w:tcPr>
            <w:tcW w:w="1090" w:type="dxa"/>
            <w:tcBorders>
              <w:top w:val="nil"/>
              <w:bottom w:val="nil"/>
            </w:tcBorders>
          </w:tcPr>
          <w:p w:rsidR="007038C9" w:rsidRPr="00005410" w:rsidRDefault="00B86619" w:rsidP="00B86619">
            <w:pPr>
              <w:pStyle w:val="tekstgl"/>
              <w:spacing w:after="0"/>
              <w:ind w:firstLine="0"/>
              <w:jc w:val="right"/>
              <w:rPr>
                <w:rFonts w:ascii="Times New Roman" w:hAnsi="Times New Roman" w:cs="Times New Roman"/>
              </w:rPr>
            </w:pPr>
            <w:r w:rsidRPr="00005410">
              <w:rPr>
                <w:rFonts w:ascii="Times New Roman" w:hAnsi="Times New Roman" w:cs="Times New Roman"/>
              </w:rPr>
              <w:t>100,0</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91,8</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8,2</w:t>
            </w:r>
          </w:p>
        </w:tc>
        <w:tc>
          <w:tcPr>
            <w:tcW w:w="1090"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68,5</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31,5</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38,9</w:t>
            </w:r>
          </w:p>
        </w:tc>
        <w:tc>
          <w:tcPr>
            <w:tcW w:w="1091" w:type="dxa"/>
            <w:tcBorders>
              <w:top w:val="nil"/>
              <w:bottom w:val="nil"/>
              <w:right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61,1</w:t>
            </w:r>
          </w:p>
        </w:tc>
      </w:tr>
      <w:tr w:rsidR="007038C9" w:rsidRPr="00005410" w:rsidTr="00A2350A">
        <w:tc>
          <w:tcPr>
            <w:tcW w:w="1545" w:type="dxa"/>
            <w:tcBorders>
              <w:top w:val="nil"/>
              <w:left w:val="nil"/>
              <w:bottom w:val="nil"/>
            </w:tcBorders>
            <w:vAlign w:val="bottom"/>
          </w:tcPr>
          <w:p w:rsidR="007038C9" w:rsidRPr="00005410" w:rsidRDefault="007038C9" w:rsidP="00A2350A">
            <w:pPr>
              <w:keepNext/>
              <w:ind w:left="-57"/>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Podkarpackie</w:t>
            </w:r>
          </w:p>
        </w:tc>
        <w:tc>
          <w:tcPr>
            <w:tcW w:w="1090" w:type="dxa"/>
            <w:tcBorders>
              <w:top w:val="nil"/>
              <w:bottom w:val="nil"/>
            </w:tcBorders>
          </w:tcPr>
          <w:p w:rsidR="007038C9" w:rsidRPr="00005410" w:rsidRDefault="00B86619" w:rsidP="00B86619">
            <w:pPr>
              <w:pStyle w:val="tekstgl"/>
              <w:spacing w:after="0"/>
              <w:ind w:firstLine="0"/>
              <w:jc w:val="right"/>
              <w:rPr>
                <w:rFonts w:ascii="Times New Roman" w:hAnsi="Times New Roman" w:cs="Times New Roman"/>
              </w:rPr>
            </w:pPr>
            <w:r w:rsidRPr="00005410">
              <w:rPr>
                <w:rFonts w:ascii="Times New Roman" w:hAnsi="Times New Roman" w:cs="Times New Roman"/>
              </w:rPr>
              <w:t>100,0</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96,9</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3,1</w:t>
            </w:r>
          </w:p>
        </w:tc>
        <w:tc>
          <w:tcPr>
            <w:tcW w:w="1090"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65,9</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34,1</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37,2</w:t>
            </w:r>
          </w:p>
        </w:tc>
        <w:tc>
          <w:tcPr>
            <w:tcW w:w="1091" w:type="dxa"/>
            <w:tcBorders>
              <w:top w:val="nil"/>
              <w:bottom w:val="nil"/>
              <w:right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62,8</w:t>
            </w:r>
          </w:p>
        </w:tc>
      </w:tr>
      <w:tr w:rsidR="007038C9" w:rsidRPr="00005410" w:rsidTr="00A2350A">
        <w:tc>
          <w:tcPr>
            <w:tcW w:w="1545" w:type="dxa"/>
            <w:tcBorders>
              <w:top w:val="nil"/>
              <w:left w:val="nil"/>
              <w:bottom w:val="nil"/>
            </w:tcBorders>
            <w:vAlign w:val="bottom"/>
          </w:tcPr>
          <w:p w:rsidR="007038C9" w:rsidRPr="00005410" w:rsidRDefault="007038C9" w:rsidP="00A2350A">
            <w:pPr>
              <w:keepNext/>
              <w:ind w:left="-57"/>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Podlaskie</w:t>
            </w:r>
          </w:p>
        </w:tc>
        <w:tc>
          <w:tcPr>
            <w:tcW w:w="1090" w:type="dxa"/>
            <w:tcBorders>
              <w:top w:val="nil"/>
              <w:bottom w:val="nil"/>
            </w:tcBorders>
          </w:tcPr>
          <w:p w:rsidR="007038C9" w:rsidRPr="00005410" w:rsidRDefault="00B86619" w:rsidP="00B86619">
            <w:pPr>
              <w:pStyle w:val="tekstgl"/>
              <w:spacing w:after="0"/>
              <w:ind w:firstLine="0"/>
              <w:jc w:val="right"/>
              <w:rPr>
                <w:rFonts w:ascii="Times New Roman" w:hAnsi="Times New Roman" w:cs="Times New Roman"/>
              </w:rPr>
            </w:pPr>
            <w:r w:rsidRPr="00005410">
              <w:rPr>
                <w:rFonts w:ascii="Times New Roman" w:hAnsi="Times New Roman" w:cs="Times New Roman"/>
              </w:rPr>
              <w:t>100,0</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96,9</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3,1</w:t>
            </w:r>
          </w:p>
        </w:tc>
        <w:tc>
          <w:tcPr>
            <w:tcW w:w="1090"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71,9</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28,1</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58,8</w:t>
            </w:r>
          </w:p>
        </w:tc>
        <w:tc>
          <w:tcPr>
            <w:tcW w:w="1091" w:type="dxa"/>
            <w:tcBorders>
              <w:top w:val="nil"/>
              <w:bottom w:val="nil"/>
              <w:right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41,2</w:t>
            </w:r>
          </w:p>
        </w:tc>
      </w:tr>
      <w:tr w:rsidR="007038C9" w:rsidRPr="00005410" w:rsidTr="00A2350A">
        <w:tc>
          <w:tcPr>
            <w:tcW w:w="1545" w:type="dxa"/>
            <w:tcBorders>
              <w:top w:val="nil"/>
              <w:left w:val="nil"/>
              <w:bottom w:val="nil"/>
            </w:tcBorders>
            <w:vAlign w:val="bottom"/>
          </w:tcPr>
          <w:p w:rsidR="007038C9" w:rsidRPr="00005410" w:rsidRDefault="007038C9" w:rsidP="00A2350A">
            <w:pPr>
              <w:keepNext/>
              <w:ind w:left="-57"/>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Pomorskie</w:t>
            </w:r>
          </w:p>
        </w:tc>
        <w:tc>
          <w:tcPr>
            <w:tcW w:w="1090" w:type="dxa"/>
            <w:tcBorders>
              <w:top w:val="nil"/>
              <w:bottom w:val="nil"/>
            </w:tcBorders>
          </w:tcPr>
          <w:p w:rsidR="007038C9" w:rsidRPr="00005410" w:rsidRDefault="00B86619" w:rsidP="00B86619">
            <w:pPr>
              <w:pStyle w:val="tekstgl"/>
              <w:spacing w:after="0"/>
              <w:ind w:firstLine="0"/>
              <w:jc w:val="right"/>
              <w:rPr>
                <w:rFonts w:ascii="Times New Roman" w:hAnsi="Times New Roman" w:cs="Times New Roman"/>
              </w:rPr>
            </w:pPr>
            <w:r w:rsidRPr="00005410">
              <w:rPr>
                <w:rFonts w:ascii="Times New Roman" w:hAnsi="Times New Roman" w:cs="Times New Roman"/>
              </w:rPr>
              <w:t>100,0</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97,7</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2,3</w:t>
            </w:r>
          </w:p>
        </w:tc>
        <w:tc>
          <w:tcPr>
            <w:tcW w:w="1090"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66,3</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33,7</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48,6</w:t>
            </w:r>
          </w:p>
        </w:tc>
        <w:tc>
          <w:tcPr>
            <w:tcW w:w="1091" w:type="dxa"/>
            <w:tcBorders>
              <w:top w:val="nil"/>
              <w:bottom w:val="nil"/>
              <w:right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51,4</w:t>
            </w:r>
          </w:p>
        </w:tc>
      </w:tr>
      <w:tr w:rsidR="007038C9" w:rsidRPr="00005410" w:rsidTr="00A2350A">
        <w:tc>
          <w:tcPr>
            <w:tcW w:w="1545" w:type="dxa"/>
            <w:tcBorders>
              <w:top w:val="nil"/>
              <w:left w:val="nil"/>
              <w:bottom w:val="nil"/>
            </w:tcBorders>
            <w:vAlign w:val="bottom"/>
          </w:tcPr>
          <w:p w:rsidR="007038C9" w:rsidRPr="00005410" w:rsidRDefault="007038C9" w:rsidP="00A2350A">
            <w:pPr>
              <w:keepNext/>
              <w:ind w:left="-57"/>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Śląskie</w:t>
            </w:r>
          </w:p>
        </w:tc>
        <w:tc>
          <w:tcPr>
            <w:tcW w:w="1090" w:type="dxa"/>
            <w:tcBorders>
              <w:top w:val="nil"/>
              <w:bottom w:val="nil"/>
            </w:tcBorders>
          </w:tcPr>
          <w:p w:rsidR="007038C9" w:rsidRPr="00005410" w:rsidRDefault="00B86619" w:rsidP="00B86619">
            <w:pPr>
              <w:pStyle w:val="tekstgl"/>
              <w:spacing w:after="0"/>
              <w:ind w:firstLine="0"/>
              <w:jc w:val="right"/>
              <w:rPr>
                <w:rFonts w:ascii="Times New Roman" w:hAnsi="Times New Roman" w:cs="Times New Roman"/>
              </w:rPr>
            </w:pPr>
            <w:r w:rsidRPr="00005410">
              <w:rPr>
                <w:rFonts w:ascii="Times New Roman" w:hAnsi="Times New Roman" w:cs="Times New Roman"/>
              </w:rPr>
              <w:t>100,0</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97,5</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2,5</w:t>
            </w:r>
          </w:p>
        </w:tc>
        <w:tc>
          <w:tcPr>
            <w:tcW w:w="1090"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57,3</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42,7</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46,8</w:t>
            </w:r>
          </w:p>
        </w:tc>
        <w:tc>
          <w:tcPr>
            <w:tcW w:w="1091" w:type="dxa"/>
            <w:tcBorders>
              <w:top w:val="nil"/>
              <w:bottom w:val="nil"/>
              <w:right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53,2</w:t>
            </w:r>
          </w:p>
        </w:tc>
      </w:tr>
      <w:tr w:rsidR="007038C9" w:rsidRPr="00005410" w:rsidTr="00A2350A">
        <w:tc>
          <w:tcPr>
            <w:tcW w:w="1545" w:type="dxa"/>
            <w:tcBorders>
              <w:top w:val="nil"/>
              <w:left w:val="nil"/>
              <w:bottom w:val="nil"/>
            </w:tcBorders>
            <w:vAlign w:val="bottom"/>
          </w:tcPr>
          <w:p w:rsidR="007038C9" w:rsidRPr="00005410" w:rsidRDefault="007038C9" w:rsidP="00A2350A">
            <w:pPr>
              <w:keepNext/>
              <w:ind w:left="-57"/>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Świętokrzyskie</w:t>
            </w:r>
          </w:p>
        </w:tc>
        <w:tc>
          <w:tcPr>
            <w:tcW w:w="1090" w:type="dxa"/>
            <w:tcBorders>
              <w:top w:val="nil"/>
              <w:bottom w:val="nil"/>
            </w:tcBorders>
          </w:tcPr>
          <w:p w:rsidR="007038C9" w:rsidRPr="00005410" w:rsidRDefault="00B86619" w:rsidP="00B86619">
            <w:pPr>
              <w:pStyle w:val="tekstgl"/>
              <w:spacing w:after="0"/>
              <w:ind w:firstLine="0"/>
              <w:jc w:val="right"/>
              <w:rPr>
                <w:rFonts w:ascii="Times New Roman" w:hAnsi="Times New Roman" w:cs="Times New Roman"/>
              </w:rPr>
            </w:pPr>
            <w:r w:rsidRPr="00005410">
              <w:rPr>
                <w:rFonts w:ascii="Times New Roman" w:hAnsi="Times New Roman" w:cs="Times New Roman"/>
              </w:rPr>
              <w:t>100,0</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92,6</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7,4</w:t>
            </w:r>
          </w:p>
        </w:tc>
        <w:tc>
          <w:tcPr>
            <w:tcW w:w="1090"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68,9</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31,1</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43,2</w:t>
            </w:r>
          </w:p>
        </w:tc>
        <w:tc>
          <w:tcPr>
            <w:tcW w:w="1091" w:type="dxa"/>
            <w:tcBorders>
              <w:top w:val="nil"/>
              <w:bottom w:val="nil"/>
              <w:right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56,8</w:t>
            </w:r>
          </w:p>
        </w:tc>
      </w:tr>
      <w:tr w:rsidR="007038C9" w:rsidRPr="00005410" w:rsidTr="00A2350A">
        <w:tc>
          <w:tcPr>
            <w:tcW w:w="1545" w:type="dxa"/>
            <w:tcBorders>
              <w:top w:val="nil"/>
              <w:left w:val="nil"/>
              <w:bottom w:val="nil"/>
            </w:tcBorders>
            <w:vAlign w:val="bottom"/>
          </w:tcPr>
          <w:p w:rsidR="007038C9" w:rsidRPr="00005410" w:rsidRDefault="007038C9" w:rsidP="00A2350A">
            <w:pPr>
              <w:keepNext/>
              <w:ind w:left="-57"/>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Warmińsko</w:t>
            </w:r>
            <w:r w:rsidR="00A2350A">
              <w:rPr>
                <w:rFonts w:ascii="Times New Roman" w:eastAsia="Times New Roman" w:hAnsi="Times New Roman" w:cs="Times New Roman"/>
                <w:color w:val="000000"/>
                <w:lang w:eastAsia="pl-PL"/>
              </w:rPr>
              <w:t>-</w:t>
            </w:r>
            <w:r w:rsidRPr="00005410">
              <w:rPr>
                <w:rFonts w:ascii="Times New Roman" w:eastAsia="Times New Roman" w:hAnsi="Times New Roman" w:cs="Times New Roman"/>
                <w:color w:val="000000"/>
                <w:lang w:eastAsia="pl-PL"/>
              </w:rPr>
              <w:t xml:space="preserve"> </w:t>
            </w:r>
            <w:r w:rsidR="00A2350A">
              <w:rPr>
                <w:rFonts w:ascii="Times New Roman" w:eastAsia="Times New Roman" w:hAnsi="Times New Roman" w:cs="Times New Roman"/>
                <w:color w:val="000000"/>
                <w:lang w:eastAsia="pl-PL"/>
              </w:rPr>
              <w:br/>
              <w:t>-</w:t>
            </w:r>
            <w:r w:rsidRPr="00005410">
              <w:rPr>
                <w:rFonts w:ascii="Times New Roman" w:eastAsia="Times New Roman" w:hAnsi="Times New Roman" w:cs="Times New Roman"/>
                <w:color w:val="000000"/>
                <w:lang w:eastAsia="pl-PL"/>
              </w:rPr>
              <w:t>mazurskie</w:t>
            </w:r>
          </w:p>
        </w:tc>
        <w:tc>
          <w:tcPr>
            <w:tcW w:w="1090" w:type="dxa"/>
            <w:tcBorders>
              <w:top w:val="nil"/>
              <w:bottom w:val="nil"/>
            </w:tcBorders>
          </w:tcPr>
          <w:p w:rsidR="00B86619" w:rsidRPr="00005410" w:rsidRDefault="00B86619" w:rsidP="00B86619">
            <w:pPr>
              <w:pStyle w:val="tekstgl"/>
              <w:spacing w:after="0"/>
              <w:ind w:firstLine="0"/>
              <w:jc w:val="right"/>
              <w:rPr>
                <w:rFonts w:ascii="Times New Roman" w:hAnsi="Times New Roman" w:cs="Times New Roman"/>
              </w:rPr>
            </w:pPr>
          </w:p>
          <w:p w:rsidR="007038C9" w:rsidRPr="00005410" w:rsidRDefault="00B86619" w:rsidP="00B86619">
            <w:pPr>
              <w:pStyle w:val="tekstgl"/>
              <w:spacing w:after="0"/>
              <w:ind w:firstLine="0"/>
              <w:jc w:val="right"/>
              <w:rPr>
                <w:rFonts w:ascii="Times New Roman" w:hAnsi="Times New Roman" w:cs="Times New Roman"/>
              </w:rPr>
            </w:pPr>
            <w:r w:rsidRPr="00005410">
              <w:rPr>
                <w:rFonts w:ascii="Times New Roman" w:hAnsi="Times New Roman" w:cs="Times New Roman"/>
              </w:rPr>
              <w:t>100,0</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94,6</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5,4</w:t>
            </w:r>
          </w:p>
        </w:tc>
        <w:tc>
          <w:tcPr>
            <w:tcW w:w="1090"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75,5</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24,5</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48,6</w:t>
            </w:r>
          </w:p>
        </w:tc>
        <w:tc>
          <w:tcPr>
            <w:tcW w:w="1091" w:type="dxa"/>
            <w:tcBorders>
              <w:top w:val="nil"/>
              <w:bottom w:val="nil"/>
              <w:right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51,4</w:t>
            </w:r>
          </w:p>
        </w:tc>
      </w:tr>
      <w:tr w:rsidR="007038C9" w:rsidRPr="00005410" w:rsidTr="00A2350A">
        <w:tc>
          <w:tcPr>
            <w:tcW w:w="1545" w:type="dxa"/>
            <w:tcBorders>
              <w:top w:val="nil"/>
              <w:left w:val="nil"/>
              <w:bottom w:val="nil"/>
            </w:tcBorders>
            <w:vAlign w:val="bottom"/>
          </w:tcPr>
          <w:p w:rsidR="007038C9" w:rsidRPr="00005410" w:rsidRDefault="007038C9" w:rsidP="00A2350A">
            <w:pPr>
              <w:keepNext/>
              <w:ind w:left="-57"/>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Wielkopolskie</w:t>
            </w:r>
          </w:p>
        </w:tc>
        <w:tc>
          <w:tcPr>
            <w:tcW w:w="1090" w:type="dxa"/>
            <w:tcBorders>
              <w:top w:val="nil"/>
              <w:bottom w:val="nil"/>
            </w:tcBorders>
          </w:tcPr>
          <w:p w:rsidR="007038C9" w:rsidRPr="00005410" w:rsidRDefault="00B86619" w:rsidP="00B86619">
            <w:pPr>
              <w:pStyle w:val="tekstgl"/>
              <w:spacing w:after="0"/>
              <w:ind w:firstLine="0"/>
              <w:jc w:val="right"/>
              <w:rPr>
                <w:rFonts w:ascii="Times New Roman" w:hAnsi="Times New Roman" w:cs="Times New Roman"/>
              </w:rPr>
            </w:pPr>
            <w:r w:rsidRPr="00005410">
              <w:rPr>
                <w:rFonts w:ascii="Times New Roman" w:hAnsi="Times New Roman" w:cs="Times New Roman"/>
              </w:rPr>
              <w:t>100,0</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97,0</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3,0</w:t>
            </w:r>
          </w:p>
        </w:tc>
        <w:tc>
          <w:tcPr>
            <w:tcW w:w="1090"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68,5</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31,5</w:t>
            </w:r>
          </w:p>
        </w:tc>
        <w:tc>
          <w:tcPr>
            <w:tcW w:w="1091" w:type="dxa"/>
            <w:tcBorders>
              <w:top w:val="nil"/>
              <w:bottom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43,4</w:t>
            </w:r>
          </w:p>
        </w:tc>
        <w:tc>
          <w:tcPr>
            <w:tcW w:w="1091" w:type="dxa"/>
            <w:tcBorders>
              <w:top w:val="nil"/>
              <w:bottom w:val="nil"/>
              <w:right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56,6</w:t>
            </w:r>
          </w:p>
        </w:tc>
      </w:tr>
      <w:tr w:rsidR="007038C9" w:rsidRPr="00005410" w:rsidTr="00A2350A">
        <w:tc>
          <w:tcPr>
            <w:tcW w:w="1545" w:type="dxa"/>
            <w:tcBorders>
              <w:top w:val="nil"/>
              <w:left w:val="nil"/>
            </w:tcBorders>
            <w:vAlign w:val="bottom"/>
          </w:tcPr>
          <w:p w:rsidR="007038C9" w:rsidRPr="00005410" w:rsidRDefault="007038C9" w:rsidP="00A2350A">
            <w:pPr>
              <w:keepNext/>
              <w:ind w:left="-57"/>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Zachodnio</w:t>
            </w:r>
            <w:r w:rsidR="00A2350A">
              <w:rPr>
                <w:rFonts w:ascii="Times New Roman" w:eastAsia="Times New Roman" w:hAnsi="Times New Roman" w:cs="Times New Roman"/>
                <w:color w:val="000000"/>
                <w:lang w:eastAsia="pl-PL"/>
              </w:rPr>
              <w:t>-</w:t>
            </w:r>
            <w:r w:rsidRPr="00005410">
              <w:rPr>
                <w:rFonts w:ascii="Times New Roman" w:eastAsia="Times New Roman" w:hAnsi="Times New Roman" w:cs="Times New Roman"/>
                <w:color w:val="000000"/>
                <w:lang w:eastAsia="pl-PL"/>
              </w:rPr>
              <w:t>pomorskie</w:t>
            </w:r>
          </w:p>
        </w:tc>
        <w:tc>
          <w:tcPr>
            <w:tcW w:w="1090" w:type="dxa"/>
            <w:tcBorders>
              <w:top w:val="nil"/>
            </w:tcBorders>
          </w:tcPr>
          <w:p w:rsidR="00B86619" w:rsidRPr="00005410" w:rsidRDefault="00B86619" w:rsidP="00B86619">
            <w:pPr>
              <w:pStyle w:val="tekstgl"/>
              <w:spacing w:after="0"/>
              <w:ind w:firstLine="0"/>
              <w:jc w:val="right"/>
              <w:rPr>
                <w:rFonts w:ascii="Times New Roman" w:hAnsi="Times New Roman" w:cs="Times New Roman"/>
              </w:rPr>
            </w:pPr>
          </w:p>
          <w:p w:rsidR="007038C9" w:rsidRPr="00005410" w:rsidRDefault="00B86619" w:rsidP="00B86619">
            <w:pPr>
              <w:pStyle w:val="tekstgl"/>
              <w:spacing w:after="0"/>
              <w:ind w:firstLine="0"/>
              <w:jc w:val="right"/>
              <w:rPr>
                <w:rFonts w:ascii="Times New Roman" w:hAnsi="Times New Roman" w:cs="Times New Roman"/>
              </w:rPr>
            </w:pPr>
            <w:r w:rsidRPr="00005410">
              <w:rPr>
                <w:rFonts w:ascii="Times New Roman" w:hAnsi="Times New Roman" w:cs="Times New Roman"/>
              </w:rPr>
              <w:t>100,0</w:t>
            </w:r>
          </w:p>
        </w:tc>
        <w:tc>
          <w:tcPr>
            <w:tcW w:w="1091" w:type="dxa"/>
            <w:tcBorders>
              <w:top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96,6</w:t>
            </w:r>
          </w:p>
        </w:tc>
        <w:tc>
          <w:tcPr>
            <w:tcW w:w="1091" w:type="dxa"/>
            <w:tcBorders>
              <w:top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3,4</w:t>
            </w:r>
          </w:p>
        </w:tc>
        <w:tc>
          <w:tcPr>
            <w:tcW w:w="1090" w:type="dxa"/>
            <w:tcBorders>
              <w:top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75,0</w:t>
            </w:r>
          </w:p>
        </w:tc>
        <w:tc>
          <w:tcPr>
            <w:tcW w:w="1091" w:type="dxa"/>
            <w:tcBorders>
              <w:top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25,0</w:t>
            </w:r>
          </w:p>
        </w:tc>
        <w:tc>
          <w:tcPr>
            <w:tcW w:w="1091" w:type="dxa"/>
            <w:tcBorders>
              <w:top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54,6</w:t>
            </w:r>
          </w:p>
        </w:tc>
        <w:tc>
          <w:tcPr>
            <w:tcW w:w="1091" w:type="dxa"/>
            <w:tcBorders>
              <w:top w:val="nil"/>
              <w:right w:val="nil"/>
            </w:tcBorders>
            <w:vAlign w:val="bottom"/>
          </w:tcPr>
          <w:p w:rsidR="007038C9" w:rsidRPr="00005410" w:rsidRDefault="007038C9" w:rsidP="008E4C71">
            <w:pPr>
              <w:keepNext/>
              <w:jc w:val="right"/>
              <w:rPr>
                <w:rFonts w:ascii="Times New Roman" w:eastAsia="Times New Roman" w:hAnsi="Times New Roman" w:cs="Times New Roman"/>
                <w:color w:val="000000"/>
                <w:lang w:eastAsia="pl-PL"/>
              </w:rPr>
            </w:pPr>
            <w:r w:rsidRPr="00005410">
              <w:rPr>
                <w:rFonts w:ascii="Times New Roman" w:eastAsia="Times New Roman" w:hAnsi="Times New Roman" w:cs="Times New Roman"/>
                <w:color w:val="000000"/>
                <w:lang w:eastAsia="pl-PL"/>
              </w:rPr>
              <w:t>45,4</w:t>
            </w:r>
          </w:p>
        </w:tc>
      </w:tr>
    </w:tbl>
    <w:p w:rsidR="00A613E2" w:rsidRDefault="00A613E2" w:rsidP="003F6507">
      <w:pPr>
        <w:pStyle w:val="tekstgl"/>
        <w:spacing w:after="0" w:line="360" w:lineRule="auto"/>
        <w:ind w:firstLine="709"/>
        <w:rPr>
          <w:rFonts w:ascii="Times New Roman" w:hAnsi="Times New Roman" w:cs="Times New Roman"/>
          <w:sz w:val="24"/>
          <w:szCs w:val="24"/>
        </w:rPr>
      </w:pPr>
    </w:p>
    <w:p w:rsidR="00A007A7" w:rsidRPr="00005410" w:rsidRDefault="00FD0BBA" w:rsidP="003F6507">
      <w:pPr>
        <w:pStyle w:val="tekstgl"/>
        <w:spacing w:after="0" w:line="360" w:lineRule="auto"/>
        <w:ind w:firstLine="709"/>
        <w:rPr>
          <w:rFonts w:ascii="Times New Roman" w:hAnsi="Times New Roman" w:cs="Times New Roman"/>
          <w:sz w:val="24"/>
          <w:szCs w:val="24"/>
        </w:rPr>
      </w:pPr>
      <w:r w:rsidRPr="00005410">
        <w:rPr>
          <w:rFonts w:ascii="Times New Roman" w:hAnsi="Times New Roman" w:cs="Times New Roman"/>
          <w:sz w:val="24"/>
          <w:szCs w:val="24"/>
        </w:rPr>
        <w:lastRenderedPageBreak/>
        <w:t>Widoczne jest pewn</w:t>
      </w:r>
      <w:r w:rsidR="00762051" w:rsidRPr="00005410">
        <w:rPr>
          <w:rFonts w:ascii="Times New Roman" w:hAnsi="Times New Roman" w:cs="Times New Roman"/>
          <w:sz w:val="24"/>
          <w:szCs w:val="24"/>
        </w:rPr>
        <w:t>e</w:t>
      </w:r>
      <w:r w:rsidR="001715DA" w:rsidRPr="00005410">
        <w:rPr>
          <w:rFonts w:ascii="Times New Roman" w:hAnsi="Times New Roman" w:cs="Times New Roman"/>
          <w:sz w:val="24"/>
          <w:szCs w:val="24"/>
        </w:rPr>
        <w:t xml:space="preserve"> zróżnico</w:t>
      </w:r>
      <w:r w:rsidRPr="00005410">
        <w:rPr>
          <w:rFonts w:ascii="Times New Roman" w:hAnsi="Times New Roman" w:cs="Times New Roman"/>
          <w:sz w:val="24"/>
          <w:szCs w:val="24"/>
        </w:rPr>
        <w:t>w</w:t>
      </w:r>
      <w:r w:rsidR="001715DA" w:rsidRPr="00005410">
        <w:rPr>
          <w:rFonts w:ascii="Times New Roman" w:hAnsi="Times New Roman" w:cs="Times New Roman"/>
          <w:sz w:val="24"/>
          <w:szCs w:val="24"/>
        </w:rPr>
        <w:t>an</w:t>
      </w:r>
      <w:r w:rsidRPr="00005410">
        <w:rPr>
          <w:rFonts w:ascii="Times New Roman" w:hAnsi="Times New Roman" w:cs="Times New Roman"/>
          <w:sz w:val="24"/>
          <w:szCs w:val="24"/>
        </w:rPr>
        <w:t xml:space="preserve">ie województw pod tym względem. </w:t>
      </w:r>
      <w:r w:rsidR="00762051" w:rsidRPr="00005410">
        <w:rPr>
          <w:rFonts w:ascii="Times New Roman" w:hAnsi="Times New Roman" w:cs="Times New Roman"/>
          <w:sz w:val="24"/>
          <w:szCs w:val="24"/>
        </w:rPr>
        <w:t>Na przykład</w:t>
      </w:r>
      <w:r w:rsidR="00B22008" w:rsidRPr="00005410">
        <w:rPr>
          <w:rFonts w:ascii="Times New Roman" w:hAnsi="Times New Roman" w:cs="Times New Roman"/>
          <w:sz w:val="24"/>
          <w:szCs w:val="24"/>
        </w:rPr>
        <w:t>, wo</w:t>
      </w:r>
      <w:r w:rsidR="001715DA" w:rsidRPr="00005410">
        <w:rPr>
          <w:rFonts w:ascii="Times New Roman" w:hAnsi="Times New Roman" w:cs="Times New Roman"/>
          <w:sz w:val="24"/>
          <w:szCs w:val="24"/>
        </w:rPr>
        <w:t>jewódz</w:t>
      </w:r>
      <w:r w:rsidR="00B22008" w:rsidRPr="00005410">
        <w:rPr>
          <w:rFonts w:ascii="Times New Roman" w:hAnsi="Times New Roman" w:cs="Times New Roman"/>
          <w:sz w:val="24"/>
          <w:szCs w:val="24"/>
        </w:rPr>
        <w:t>tw</w:t>
      </w:r>
      <w:r w:rsidR="001715DA" w:rsidRPr="00005410">
        <w:rPr>
          <w:rFonts w:ascii="Times New Roman" w:hAnsi="Times New Roman" w:cs="Times New Roman"/>
          <w:sz w:val="24"/>
          <w:szCs w:val="24"/>
        </w:rPr>
        <w:t>a</w:t>
      </w:r>
      <w:r w:rsidR="00635FF6" w:rsidRPr="00005410">
        <w:rPr>
          <w:rFonts w:ascii="Times New Roman" w:hAnsi="Times New Roman" w:cs="Times New Roman"/>
          <w:sz w:val="24"/>
          <w:szCs w:val="24"/>
        </w:rPr>
        <w:t xml:space="preserve"> łó</w:t>
      </w:r>
      <w:r w:rsidR="00B22008" w:rsidRPr="00005410">
        <w:rPr>
          <w:rFonts w:ascii="Times New Roman" w:hAnsi="Times New Roman" w:cs="Times New Roman"/>
          <w:sz w:val="24"/>
          <w:szCs w:val="24"/>
        </w:rPr>
        <w:t>dzkie i małopolskie</w:t>
      </w:r>
      <w:r w:rsidR="00B237DE" w:rsidRPr="00005410">
        <w:rPr>
          <w:rFonts w:ascii="Times New Roman" w:hAnsi="Times New Roman" w:cs="Times New Roman"/>
          <w:sz w:val="24"/>
          <w:szCs w:val="24"/>
        </w:rPr>
        <w:t xml:space="preserve"> mają</w:t>
      </w:r>
      <w:r w:rsidR="00635FF6" w:rsidRPr="00005410">
        <w:rPr>
          <w:rFonts w:ascii="Times New Roman" w:hAnsi="Times New Roman" w:cs="Times New Roman"/>
          <w:sz w:val="24"/>
          <w:szCs w:val="24"/>
        </w:rPr>
        <w:t xml:space="preserve"> szczególnie duży udział w ogólnej liczb</w:t>
      </w:r>
      <w:r w:rsidR="00762051" w:rsidRPr="00005410">
        <w:rPr>
          <w:rFonts w:ascii="Times New Roman" w:hAnsi="Times New Roman" w:cs="Times New Roman"/>
          <w:sz w:val="24"/>
          <w:szCs w:val="24"/>
        </w:rPr>
        <w:t>ie dojeż</w:t>
      </w:r>
      <w:r w:rsidR="00635FF6" w:rsidRPr="00005410">
        <w:rPr>
          <w:rFonts w:ascii="Times New Roman" w:hAnsi="Times New Roman" w:cs="Times New Roman"/>
          <w:sz w:val="24"/>
          <w:szCs w:val="24"/>
        </w:rPr>
        <w:t>dż</w:t>
      </w:r>
      <w:r w:rsidR="00762051" w:rsidRPr="00005410">
        <w:rPr>
          <w:rFonts w:ascii="Times New Roman" w:hAnsi="Times New Roman" w:cs="Times New Roman"/>
          <w:sz w:val="24"/>
          <w:szCs w:val="24"/>
        </w:rPr>
        <w:t>aj</w:t>
      </w:r>
      <w:r w:rsidR="00635FF6" w:rsidRPr="00005410">
        <w:rPr>
          <w:rFonts w:ascii="Times New Roman" w:hAnsi="Times New Roman" w:cs="Times New Roman"/>
          <w:sz w:val="24"/>
          <w:szCs w:val="24"/>
        </w:rPr>
        <w:t>ąc</w:t>
      </w:r>
      <w:r w:rsidR="00762051" w:rsidRPr="00005410">
        <w:rPr>
          <w:rFonts w:ascii="Times New Roman" w:hAnsi="Times New Roman" w:cs="Times New Roman"/>
          <w:sz w:val="24"/>
          <w:szCs w:val="24"/>
        </w:rPr>
        <w:t>ych poza własne województwo</w:t>
      </w:r>
      <w:r w:rsidR="00252B11" w:rsidRPr="00005410">
        <w:rPr>
          <w:rFonts w:ascii="Times New Roman" w:hAnsi="Times New Roman" w:cs="Times New Roman"/>
          <w:sz w:val="24"/>
          <w:szCs w:val="24"/>
        </w:rPr>
        <w:t xml:space="preserve"> w skali kraju</w:t>
      </w:r>
      <w:r w:rsidR="00762051" w:rsidRPr="00005410">
        <w:rPr>
          <w:rFonts w:ascii="Times New Roman" w:hAnsi="Times New Roman" w:cs="Times New Roman"/>
          <w:sz w:val="24"/>
          <w:szCs w:val="24"/>
        </w:rPr>
        <w:t xml:space="preserve">. </w:t>
      </w:r>
      <w:r w:rsidR="00B22008" w:rsidRPr="00005410">
        <w:rPr>
          <w:rFonts w:ascii="Times New Roman" w:hAnsi="Times New Roman" w:cs="Times New Roman"/>
          <w:sz w:val="24"/>
          <w:szCs w:val="24"/>
        </w:rPr>
        <w:t>W zakresie</w:t>
      </w:r>
      <w:r w:rsidR="00014EAA" w:rsidRPr="00005410">
        <w:rPr>
          <w:rFonts w:ascii="Times New Roman" w:hAnsi="Times New Roman" w:cs="Times New Roman"/>
          <w:sz w:val="24"/>
          <w:szCs w:val="24"/>
        </w:rPr>
        <w:t xml:space="preserve"> struktury d</w:t>
      </w:r>
      <w:r w:rsidR="00AB13F9" w:rsidRPr="00005410">
        <w:rPr>
          <w:rFonts w:ascii="Times New Roman" w:hAnsi="Times New Roman" w:cs="Times New Roman"/>
          <w:sz w:val="24"/>
          <w:szCs w:val="24"/>
        </w:rPr>
        <w:t>ojazdów rozpatrywanej po</w:t>
      </w:r>
      <w:r w:rsidR="00B22008" w:rsidRPr="00005410">
        <w:rPr>
          <w:rFonts w:ascii="Times New Roman" w:hAnsi="Times New Roman" w:cs="Times New Roman"/>
          <w:sz w:val="24"/>
          <w:szCs w:val="24"/>
        </w:rPr>
        <w:t>d ką</w:t>
      </w:r>
      <w:r w:rsidR="00AB13F9" w:rsidRPr="00005410">
        <w:rPr>
          <w:rFonts w:ascii="Times New Roman" w:hAnsi="Times New Roman" w:cs="Times New Roman"/>
          <w:sz w:val="24"/>
          <w:szCs w:val="24"/>
        </w:rPr>
        <w:t>tem przekraczania granic pow</w:t>
      </w:r>
      <w:r w:rsidR="00014EAA" w:rsidRPr="00005410">
        <w:rPr>
          <w:rFonts w:ascii="Times New Roman" w:hAnsi="Times New Roman" w:cs="Times New Roman"/>
          <w:sz w:val="24"/>
          <w:szCs w:val="24"/>
        </w:rPr>
        <w:t>i</w:t>
      </w:r>
      <w:r w:rsidR="00AB13F9" w:rsidRPr="00005410">
        <w:rPr>
          <w:rFonts w:ascii="Times New Roman" w:hAnsi="Times New Roman" w:cs="Times New Roman"/>
          <w:sz w:val="24"/>
          <w:szCs w:val="24"/>
        </w:rPr>
        <w:t>a</w:t>
      </w:r>
      <w:r w:rsidR="00014EAA" w:rsidRPr="00005410">
        <w:rPr>
          <w:rFonts w:ascii="Times New Roman" w:hAnsi="Times New Roman" w:cs="Times New Roman"/>
          <w:sz w:val="24"/>
          <w:szCs w:val="24"/>
        </w:rPr>
        <w:t>tu i gminy domin</w:t>
      </w:r>
      <w:r w:rsidR="00EC20AA" w:rsidRPr="00005410">
        <w:rPr>
          <w:rFonts w:ascii="Times New Roman" w:hAnsi="Times New Roman" w:cs="Times New Roman"/>
          <w:sz w:val="24"/>
          <w:szCs w:val="24"/>
        </w:rPr>
        <w:t>ują województwa:</w:t>
      </w:r>
      <w:r w:rsidR="00AB13F9" w:rsidRPr="00005410">
        <w:rPr>
          <w:rFonts w:ascii="Times New Roman" w:hAnsi="Times New Roman" w:cs="Times New Roman"/>
          <w:sz w:val="24"/>
          <w:szCs w:val="24"/>
        </w:rPr>
        <w:t xml:space="preserve"> </w:t>
      </w:r>
      <w:r w:rsidR="00EC20AA" w:rsidRPr="00005410">
        <w:rPr>
          <w:rFonts w:ascii="Times New Roman" w:hAnsi="Times New Roman" w:cs="Times New Roman"/>
          <w:sz w:val="24"/>
          <w:szCs w:val="24"/>
        </w:rPr>
        <w:t>m</w:t>
      </w:r>
      <w:r w:rsidR="00AB13F9" w:rsidRPr="00005410">
        <w:rPr>
          <w:rFonts w:ascii="Times New Roman" w:hAnsi="Times New Roman" w:cs="Times New Roman"/>
          <w:sz w:val="24"/>
          <w:szCs w:val="24"/>
        </w:rPr>
        <w:t>a</w:t>
      </w:r>
      <w:r w:rsidR="009F1E75">
        <w:rPr>
          <w:rFonts w:ascii="Times New Roman" w:hAnsi="Times New Roman" w:cs="Times New Roman"/>
          <w:sz w:val="24"/>
          <w:szCs w:val="24"/>
        </w:rPr>
        <w:t>zowieckie i </w:t>
      </w:r>
      <w:r w:rsidR="00EC20AA" w:rsidRPr="00005410">
        <w:rPr>
          <w:rFonts w:ascii="Times New Roman" w:hAnsi="Times New Roman" w:cs="Times New Roman"/>
          <w:sz w:val="24"/>
          <w:szCs w:val="24"/>
        </w:rPr>
        <w:t>ś</w:t>
      </w:r>
      <w:r w:rsidR="00AB13F9" w:rsidRPr="00005410">
        <w:rPr>
          <w:rFonts w:ascii="Times New Roman" w:hAnsi="Times New Roman" w:cs="Times New Roman"/>
          <w:sz w:val="24"/>
          <w:szCs w:val="24"/>
        </w:rPr>
        <w:t>ląsk</w:t>
      </w:r>
      <w:r w:rsidR="00EC20AA" w:rsidRPr="00005410">
        <w:rPr>
          <w:rFonts w:ascii="Times New Roman" w:hAnsi="Times New Roman" w:cs="Times New Roman"/>
          <w:sz w:val="24"/>
          <w:szCs w:val="24"/>
        </w:rPr>
        <w:t>ie</w:t>
      </w:r>
      <w:r w:rsidR="00AB13F9" w:rsidRPr="00005410">
        <w:rPr>
          <w:rFonts w:ascii="Times New Roman" w:hAnsi="Times New Roman" w:cs="Times New Roman"/>
          <w:sz w:val="24"/>
          <w:szCs w:val="24"/>
        </w:rPr>
        <w:t xml:space="preserve">, które mają we </w:t>
      </w:r>
      <w:r w:rsidR="00014EAA" w:rsidRPr="00005410">
        <w:rPr>
          <w:rFonts w:ascii="Times New Roman" w:hAnsi="Times New Roman" w:cs="Times New Roman"/>
          <w:sz w:val="24"/>
          <w:szCs w:val="24"/>
        </w:rPr>
        <w:t>wszystki</w:t>
      </w:r>
      <w:r w:rsidR="00AB13F9" w:rsidRPr="00005410">
        <w:rPr>
          <w:rFonts w:ascii="Times New Roman" w:hAnsi="Times New Roman" w:cs="Times New Roman"/>
          <w:sz w:val="24"/>
          <w:szCs w:val="24"/>
        </w:rPr>
        <w:t>ch ty</w:t>
      </w:r>
      <w:r w:rsidR="00014EAA" w:rsidRPr="00005410">
        <w:rPr>
          <w:rFonts w:ascii="Times New Roman" w:hAnsi="Times New Roman" w:cs="Times New Roman"/>
          <w:sz w:val="24"/>
          <w:szCs w:val="24"/>
        </w:rPr>
        <w:t>ch przy</w:t>
      </w:r>
      <w:r w:rsidR="00AB13F9" w:rsidRPr="00005410">
        <w:rPr>
          <w:rFonts w:ascii="Times New Roman" w:hAnsi="Times New Roman" w:cs="Times New Roman"/>
          <w:sz w:val="24"/>
          <w:szCs w:val="24"/>
        </w:rPr>
        <w:t>p</w:t>
      </w:r>
      <w:r w:rsidR="00014EAA" w:rsidRPr="00005410">
        <w:rPr>
          <w:rFonts w:ascii="Times New Roman" w:hAnsi="Times New Roman" w:cs="Times New Roman"/>
          <w:sz w:val="24"/>
          <w:szCs w:val="24"/>
        </w:rPr>
        <w:t>adkach</w:t>
      </w:r>
      <w:r w:rsidR="00AB13F9" w:rsidRPr="00005410">
        <w:rPr>
          <w:rFonts w:ascii="Times New Roman" w:hAnsi="Times New Roman" w:cs="Times New Roman"/>
          <w:sz w:val="24"/>
          <w:szCs w:val="24"/>
        </w:rPr>
        <w:t xml:space="preserve"> największe</w:t>
      </w:r>
      <w:r w:rsidR="00014EAA" w:rsidRPr="00005410">
        <w:rPr>
          <w:rFonts w:ascii="Times New Roman" w:hAnsi="Times New Roman" w:cs="Times New Roman"/>
          <w:sz w:val="24"/>
          <w:szCs w:val="24"/>
        </w:rPr>
        <w:t xml:space="preserve"> udziały. </w:t>
      </w:r>
      <w:r w:rsidR="00883756">
        <w:rPr>
          <w:rFonts w:ascii="Times New Roman" w:hAnsi="Times New Roman" w:cs="Times New Roman"/>
          <w:sz w:val="24"/>
          <w:szCs w:val="24"/>
        </w:rPr>
        <w:t>W </w:t>
      </w:r>
      <w:r w:rsidR="007E2730" w:rsidRPr="00005410">
        <w:rPr>
          <w:rFonts w:ascii="Times New Roman" w:hAnsi="Times New Roman" w:cs="Times New Roman"/>
          <w:sz w:val="24"/>
          <w:szCs w:val="24"/>
        </w:rPr>
        <w:t>skali kraju 51,0%</w:t>
      </w:r>
      <w:r w:rsidR="00A8282C" w:rsidRPr="00005410">
        <w:rPr>
          <w:rFonts w:ascii="Times New Roman" w:hAnsi="Times New Roman" w:cs="Times New Roman"/>
          <w:sz w:val="24"/>
          <w:szCs w:val="24"/>
        </w:rPr>
        <w:t xml:space="preserve"> </w:t>
      </w:r>
      <w:r w:rsidR="007E2730" w:rsidRPr="00005410">
        <w:rPr>
          <w:rFonts w:ascii="Times New Roman" w:hAnsi="Times New Roman" w:cs="Times New Roman"/>
          <w:sz w:val="24"/>
          <w:szCs w:val="24"/>
        </w:rPr>
        <w:t>doje</w:t>
      </w:r>
      <w:r w:rsidR="00A8282C" w:rsidRPr="00005410">
        <w:rPr>
          <w:rFonts w:ascii="Times New Roman" w:hAnsi="Times New Roman" w:cs="Times New Roman"/>
          <w:sz w:val="24"/>
          <w:szCs w:val="24"/>
        </w:rPr>
        <w:t>ż</w:t>
      </w:r>
      <w:r w:rsidR="007E2730" w:rsidRPr="00005410">
        <w:rPr>
          <w:rFonts w:ascii="Times New Roman" w:hAnsi="Times New Roman" w:cs="Times New Roman"/>
          <w:sz w:val="24"/>
          <w:szCs w:val="24"/>
        </w:rPr>
        <w:t>d</w:t>
      </w:r>
      <w:r w:rsidR="00A8282C" w:rsidRPr="00005410">
        <w:rPr>
          <w:rFonts w:ascii="Times New Roman" w:hAnsi="Times New Roman" w:cs="Times New Roman"/>
          <w:sz w:val="24"/>
          <w:szCs w:val="24"/>
        </w:rPr>
        <w:t>ż</w:t>
      </w:r>
      <w:r w:rsidR="007E2730" w:rsidRPr="00005410">
        <w:rPr>
          <w:rFonts w:ascii="Times New Roman" w:hAnsi="Times New Roman" w:cs="Times New Roman"/>
          <w:sz w:val="24"/>
          <w:szCs w:val="24"/>
        </w:rPr>
        <w:t>aj</w:t>
      </w:r>
      <w:r w:rsidR="00A8282C" w:rsidRPr="00005410">
        <w:rPr>
          <w:rFonts w:ascii="Times New Roman" w:hAnsi="Times New Roman" w:cs="Times New Roman"/>
          <w:sz w:val="24"/>
          <w:szCs w:val="24"/>
        </w:rPr>
        <w:t>ą</w:t>
      </w:r>
      <w:r w:rsidR="007E2730" w:rsidRPr="00005410">
        <w:rPr>
          <w:rFonts w:ascii="Times New Roman" w:hAnsi="Times New Roman" w:cs="Times New Roman"/>
          <w:sz w:val="24"/>
          <w:szCs w:val="24"/>
        </w:rPr>
        <w:t>cych prze</w:t>
      </w:r>
      <w:r w:rsidR="00A8282C" w:rsidRPr="00005410">
        <w:rPr>
          <w:rFonts w:ascii="Times New Roman" w:hAnsi="Times New Roman" w:cs="Times New Roman"/>
          <w:sz w:val="24"/>
          <w:szCs w:val="24"/>
        </w:rPr>
        <w:t>k</w:t>
      </w:r>
      <w:r w:rsidR="007E2730" w:rsidRPr="00005410">
        <w:rPr>
          <w:rFonts w:ascii="Times New Roman" w:hAnsi="Times New Roman" w:cs="Times New Roman"/>
          <w:sz w:val="24"/>
          <w:szCs w:val="24"/>
        </w:rPr>
        <w:t>racza w dr</w:t>
      </w:r>
      <w:r w:rsidR="00A8282C" w:rsidRPr="00005410">
        <w:rPr>
          <w:rFonts w:ascii="Times New Roman" w:hAnsi="Times New Roman" w:cs="Times New Roman"/>
          <w:sz w:val="24"/>
          <w:szCs w:val="24"/>
        </w:rPr>
        <w:t>o</w:t>
      </w:r>
      <w:r w:rsidR="007E2730" w:rsidRPr="00005410">
        <w:rPr>
          <w:rFonts w:ascii="Times New Roman" w:hAnsi="Times New Roman" w:cs="Times New Roman"/>
          <w:sz w:val="24"/>
          <w:szCs w:val="24"/>
        </w:rPr>
        <w:t>dze do pracy granice gminy zamieszk</w:t>
      </w:r>
      <w:r w:rsidR="00A8282C" w:rsidRPr="00005410">
        <w:rPr>
          <w:rFonts w:ascii="Times New Roman" w:hAnsi="Times New Roman" w:cs="Times New Roman"/>
          <w:sz w:val="24"/>
          <w:szCs w:val="24"/>
        </w:rPr>
        <w:t>a</w:t>
      </w:r>
      <w:r w:rsidR="007E2730" w:rsidRPr="00005410">
        <w:rPr>
          <w:rFonts w:ascii="Times New Roman" w:hAnsi="Times New Roman" w:cs="Times New Roman"/>
          <w:sz w:val="24"/>
          <w:szCs w:val="24"/>
        </w:rPr>
        <w:t>nia. W poszczególnych wojew</w:t>
      </w:r>
      <w:r w:rsidR="00A8282C" w:rsidRPr="00005410">
        <w:rPr>
          <w:rFonts w:ascii="Times New Roman" w:hAnsi="Times New Roman" w:cs="Times New Roman"/>
          <w:sz w:val="24"/>
          <w:szCs w:val="24"/>
        </w:rPr>
        <w:t>ó</w:t>
      </w:r>
      <w:r w:rsidR="007E2730" w:rsidRPr="00005410">
        <w:rPr>
          <w:rFonts w:ascii="Times New Roman" w:hAnsi="Times New Roman" w:cs="Times New Roman"/>
          <w:sz w:val="24"/>
          <w:szCs w:val="24"/>
        </w:rPr>
        <w:t>dztwach wskaźnik ten zamyka</w:t>
      </w:r>
      <w:r w:rsidR="00A8282C" w:rsidRPr="00005410">
        <w:rPr>
          <w:rFonts w:ascii="Times New Roman" w:hAnsi="Times New Roman" w:cs="Times New Roman"/>
          <w:sz w:val="24"/>
          <w:szCs w:val="24"/>
        </w:rPr>
        <w:t xml:space="preserve"> </w:t>
      </w:r>
      <w:r w:rsidR="007E2730" w:rsidRPr="00005410">
        <w:rPr>
          <w:rFonts w:ascii="Times New Roman" w:hAnsi="Times New Roman" w:cs="Times New Roman"/>
          <w:sz w:val="24"/>
          <w:szCs w:val="24"/>
        </w:rPr>
        <w:t>si</w:t>
      </w:r>
      <w:r w:rsidR="00A8282C" w:rsidRPr="00005410">
        <w:rPr>
          <w:rFonts w:ascii="Times New Roman" w:hAnsi="Times New Roman" w:cs="Times New Roman"/>
          <w:sz w:val="24"/>
          <w:szCs w:val="24"/>
        </w:rPr>
        <w:t>ę</w:t>
      </w:r>
      <w:r w:rsidR="007E2730" w:rsidRPr="00005410">
        <w:rPr>
          <w:rFonts w:ascii="Times New Roman" w:hAnsi="Times New Roman" w:cs="Times New Roman"/>
          <w:sz w:val="24"/>
          <w:szCs w:val="24"/>
        </w:rPr>
        <w:t xml:space="preserve"> w </w:t>
      </w:r>
      <w:r w:rsidR="00A8282C" w:rsidRPr="00005410">
        <w:rPr>
          <w:rFonts w:ascii="Times New Roman" w:hAnsi="Times New Roman" w:cs="Times New Roman"/>
          <w:sz w:val="24"/>
          <w:szCs w:val="24"/>
        </w:rPr>
        <w:t>p</w:t>
      </w:r>
      <w:r w:rsidR="007E2730" w:rsidRPr="00005410">
        <w:rPr>
          <w:rFonts w:ascii="Times New Roman" w:hAnsi="Times New Roman" w:cs="Times New Roman"/>
          <w:sz w:val="24"/>
          <w:szCs w:val="24"/>
        </w:rPr>
        <w:t>rzedzi</w:t>
      </w:r>
      <w:r w:rsidR="00A8282C" w:rsidRPr="00005410">
        <w:rPr>
          <w:rFonts w:ascii="Times New Roman" w:hAnsi="Times New Roman" w:cs="Times New Roman"/>
          <w:sz w:val="24"/>
          <w:szCs w:val="24"/>
        </w:rPr>
        <w:t>a</w:t>
      </w:r>
      <w:r w:rsidR="007E2730" w:rsidRPr="00005410">
        <w:rPr>
          <w:rFonts w:ascii="Times New Roman" w:hAnsi="Times New Roman" w:cs="Times New Roman"/>
          <w:sz w:val="24"/>
          <w:szCs w:val="24"/>
        </w:rPr>
        <w:t>le od 41,2% w wojew</w:t>
      </w:r>
      <w:r w:rsidR="00A8282C" w:rsidRPr="00005410">
        <w:rPr>
          <w:rFonts w:ascii="Times New Roman" w:hAnsi="Times New Roman" w:cs="Times New Roman"/>
          <w:sz w:val="24"/>
          <w:szCs w:val="24"/>
        </w:rPr>
        <w:t>ó</w:t>
      </w:r>
      <w:r w:rsidR="007E2730" w:rsidRPr="00005410">
        <w:rPr>
          <w:rFonts w:ascii="Times New Roman" w:hAnsi="Times New Roman" w:cs="Times New Roman"/>
          <w:sz w:val="24"/>
          <w:szCs w:val="24"/>
        </w:rPr>
        <w:t>dztwie podlaskim do 62,8% w w</w:t>
      </w:r>
      <w:r w:rsidR="00A8282C" w:rsidRPr="00005410">
        <w:rPr>
          <w:rFonts w:ascii="Times New Roman" w:hAnsi="Times New Roman" w:cs="Times New Roman"/>
          <w:sz w:val="24"/>
          <w:szCs w:val="24"/>
        </w:rPr>
        <w:t>o</w:t>
      </w:r>
      <w:r w:rsidR="007E2730" w:rsidRPr="00005410">
        <w:rPr>
          <w:rFonts w:ascii="Times New Roman" w:hAnsi="Times New Roman" w:cs="Times New Roman"/>
          <w:sz w:val="24"/>
          <w:szCs w:val="24"/>
        </w:rPr>
        <w:t>jew</w:t>
      </w:r>
      <w:r w:rsidR="00A8282C" w:rsidRPr="00005410">
        <w:rPr>
          <w:rFonts w:ascii="Times New Roman" w:hAnsi="Times New Roman" w:cs="Times New Roman"/>
          <w:sz w:val="24"/>
          <w:szCs w:val="24"/>
        </w:rPr>
        <w:t>ó</w:t>
      </w:r>
      <w:r w:rsidR="007E2730" w:rsidRPr="00005410">
        <w:rPr>
          <w:rFonts w:ascii="Times New Roman" w:hAnsi="Times New Roman" w:cs="Times New Roman"/>
          <w:sz w:val="24"/>
          <w:szCs w:val="24"/>
        </w:rPr>
        <w:t>dztwie podkarpackim</w:t>
      </w:r>
      <w:r w:rsidR="002D06F4" w:rsidRPr="00005410">
        <w:rPr>
          <w:rFonts w:ascii="Times New Roman" w:hAnsi="Times New Roman" w:cs="Times New Roman"/>
          <w:sz w:val="24"/>
          <w:szCs w:val="24"/>
        </w:rPr>
        <w:t>.</w:t>
      </w:r>
    </w:p>
    <w:p w:rsidR="00567B37" w:rsidRDefault="00567B37" w:rsidP="00ED4CA3">
      <w:pPr>
        <w:keepNext/>
        <w:spacing w:before="200" w:after="100"/>
        <w:jc w:val="both"/>
        <w:rPr>
          <w:rFonts w:ascii="Times New Roman" w:hAnsi="Times New Roman" w:cs="Times New Roman"/>
          <w:b/>
          <w:sz w:val="20"/>
          <w:szCs w:val="20"/>
        </w:rPr>
      </w:pPr>
    </w:p>
    <w:p w:rsidR="006321C3" w:rsidRPr="00005410" w:rsidRDefault="006321C3" w:rsidP="00ED4CA3">
      <w:pPr>
        <w:keepNext/>
        <w:spacing w:before="200" w:after="100"/>
        <w:jc w:val="both"/>
        <w:rPr>
          <w:rFonts w:ascii="Times New Roman" w:hAnsi="Times New Roman" w:cs="Times New Roman"/>
          <w:b/>
          <w:sz w:val="20"/>
          <w:szCs w:val="20"/>
        </w:rPr>
      </w:pPr>
      <w:r w:rsidRPr="00005410">
        <w:rPr>
          <w:rFonts w:ascii="Times New Roman" w:hAnsi="Times New Roman" w:cs="Times New Roman"/>
          <w:b/>
          <w:sz w:val="20"/>
          <w:szCs w:val="20"/>
        </w:rPr>
        <w:t xml:space="preserve">Wykres </w:t>
      </w:r>
      <w:r w:rsidR="00D55B40">
        <w:rPr>
          <w:rFonts w:ascii="Times New Roman" w:hAnsi="Times New Roman" w:cs="Times New Roman"/>
          <w:b/>
          <w:sz w:val="20"/>
          <w:szCs w:val="20"/>
        </w:rPr>
        <w:t>6</w:t>
      </w:r>
      <w:r w:rsidR="0029666D">
        <w:rPr>
          <w:rFonts w:ascii="Times New Roman" w:hAnsi="Times New Roman" w:cs="Times New Roman"/>
          <w:b/>
          <w:sz w:val="20"/>
          <w:szCs w:val="20"/>
        </w:rPr>
        <w:t>.3</w:t>
      </w:r>
      <w:r w:rsidRPr="00005410">
        <w:rPr>
          <w:rFonts w:ascii="Times New Roman" w:hAnsi="Times New Roman" w:cs="Times New Roman"/>
          <w:b/>
          <w:sz w:val="20"/>
          <w:szCs w:val="20"/>
        </w:rPr>
        <w:t xml:space="preserve">. </w:t>
      </w:r>
      <w:r w:rsidR="008E13FD" w:rsidRPr="00005410">
        <w:rPr>
          <w:rFonts w:ascii="Times New Roman" w:hAnsi="Times New Roman" w:cs="Times New Roman"/>
          <w:b/>
          <w:sz w:val="20"/>
          <w:szCs w:val="20"/>
        </w:rPr>
        <w:t>D</w:t>
      </w:r>
      <w:r w:rsidRPr="00005410">
        <w:rPr>
          <w:rFonts w:ascii="Times New Roman" w:hAnsi="Times New Roman" w:cs="Times New Roman"/>
          <w:b/>
          <w:sz w:val="20"/>
          <w:szCs w:val="20"/>
        </w:rPr>
        <w:t>ojeżdżający</w:t>
      </w:r>
      <w:r w:rsidR="002E6B23" w:rsidRPr="00005410">
        <w:rPr>
          <w:rFonts w:ascii="Times New Roman" w:hAnsi="Times New Roman" w:cs="Times New Roman"/>
          <w:b/>
          <w:sz w:val="20"/>
          <w:szCs w:val="20"/>
        </w:rPr>
        <w:t xml:space="preserve"> do pracy według </w:t>
      </w:r>
      <w:r w:rsidR="00B83CA0" w:rsidRPr="00005410">
        <w:rPr>
          <w:rFonts w:ascii="Times New Roman" w:hAnsi="Times New Roman" w:cs="Times New Roman"/>
          <w:b/>
          <w:sz w:val="20"/>
          <w:szCs w:val="20"/>
        </w:rPr>
        <w:t xml:space="preserve">poziomu </w:t>
      </w:r>
      <w:r w:rsidR="002E6B23" w:rsidRPr="00005410">
        <w:rPr>
          <w:rFonts w:ascii="Times New Roman" w:hAnsi="Times New Roman" w:cs="Times New Roman"/>
          <w:b/>
          <w:sz w:val="20"/>
          <w:szCs w:val="20"/>
        </w:rPr>
        <w:t>wykształcenia</w:t>
      </w:r>
    </w:p>
    <w:p w:rsidR="006321C3" w:rsidRPr="0024503A" w:rsidRDefault="009601FC" w:rsidP="00ED4CA3">
      <w:pPr>
        <w:keepNext/>
        <w:spacing w:before="200" w:after="100"/>
        <w:jc w:val="both"/>
        <w:rPr>
          <w:rFonts w:asciiTheme="majorHAnsi" w:hAnsiTheme="majorHAnsi"/>
        </w:rPr>
      </w:pPr>
      <w:r w:rsidRPr="00D41159">
        <w:rPr>
          <w:noProof/>
          <w:lang w:eastAsia="pl-PL"/>
        </w:rPr>
        <w:drawing>
          <wp:inline distT="0" distB="0" distL="0" distR="0">
            <wp:extent cx="5391636" cy="4041998"/>
            <wp:effectExtent l="19050" t="0" r="0" b="0"/>
            <wp:docPr id="11" name="Wykres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D2255" w:rsidRPr="00005410" w:rsidRDefault="00610A6A" w:rsidP="00005410">
      <w:pPr>
        <w:pStyle w:val="tekstgl"/>
        <w:spacing w:line="360" w:lineRule="auto"/>
        <w:ind w:firstLine="709"/>
        <w:rPr>
          <w:rFonts w:ascii="Times New Roman" w:hAnsi="Times New Roman" w:cs="Times New Roman"/>
          <w:sz w:val="24"/>
          <w:szCs w:val="24"/>
        </w:rPr>
      </w:pPr>
      <w:r>
        <w:rPr>
          <w:rFonts w:ascii="Times New Roman" w:hAnsi="Times New Roman" w:cs="Times New Roman"/>
          <w:sz w:val="24"/>
          <w:szCs w:val="24"/>
        </w:rPr>
        <w:t>W</w:t>
      </w:r>
      <w:r w:rsidR="000D2255" w:rsidRPr="00005410">
        <w:rPr>
          <w:rFonts w:ascii="Times New Roman" w:hAnsi="Times New Roman" w:cs="Times New Roman"/>
          <w:sz w:val="24"/>
          <w:szCs w:val="24"/>
        </w:rPr>
        <w:t>śród dojeżd</w:t>
      </w:r>
      <w:r w:rsidR="006321C3" w:rsidRPr="00005410">
        <w:rPr>
          <w:rFonts w:ascii="Times New Roman" w:hAnsi="Times New Roman" w:cs="Times New Roman"/>
          <w:sz w:val="24"/>
          <w:szCs w:val="24"/>
        </w:rPr>
        <w:t>ż</w:t>
      </w:r>
      <w:r w:rsidR="000D2255" w:rsidRPr="00005410">
        <w:rPr>
          <w:rFonts w:ascii="Times New Roman" w:hAnsi="Times New Roman" w:cs="Times New Roman"/>
          <w:sz w:val="24"/>
          <w:szCs w:val="24"/>
        </w:rPr>
        <w:t>aj</w:t>
      </w:r>
      <w:r w:rsidR="006321C3" w:rsidRPr="00005410">
        <w:rPr>
          <w:rFonts w:ascii="Times New Roman" w:hAnsi="Times New Roman" w:cs="Times New Roman"/>
          <w:sz w:val="24"/>
          <w:szCs w:val="24"/>
        </w:rPr>
        <w:t>ąc</w:t>
      </w:r>
      <w:r w:rsidR="000D2255" w:rsidRPr="00005410">
        <w:rPr>
          <w:rFonts w:ascii="Times New Roman" w:hAnsi="Times New Roman" w:cs="Times New Roman"/>
          <w:sz w:val="24"/>
          <w:szCs w:val="24"/>
        </w:rPr>
        <w:t>ych do pr</w:t>
      </w:r>
      <w:r w:rsidR="006321C3" w:rsidRPr="00005410">
        <w:rPr>
          <w:rFonts w:ascii="Times New Roman" w:hAnsi="Times New Roman" w:cs="Times New Roman"/>
          <w:sz w:val="24"/>
          <w:szCs w:val="24"/>
        </w:rPr>
        <w:t>a</w:t>
      </w:r>
      <w:r w:rsidR="000D2255" w:rsidRPr="00005410">
        <w:rPr>
          <w:rFonts w:ascii="Times New Roman" w:hAnsi="Times New Roman" w:cs="Times New Roman"/>
          <w:sz w:val="24"/>
          <w:szCs w:val="24"/>
        </w:rPr>
        <w:t xml:space="preserve">cy przeważają osoby posiadające wykształcenie </w:t>
      </w:r>
      <w:r w:rsidR="006321C3" w:rsidRPr="00005410">
        <w:rPr>
          <w:rFonts w:ascii="Times New Roman" w:hAnsi="Times New Roman" w:cs="Times New Roman"/>
          <w:sz w:val="24"/>
          <w:szCs w:val="24"/>
        </w:rPr>
        <w:t>wyższ</w:t>
      </w:r>
      <w:r w:rsidR="000D2255" w:rsidRPr="00005410">
        <w:rPr>
          <w:rFonts w:ascii="Times New Roman" w:hAnsi="Times New Roman" w:cs="Times New Roman"/>
          <w:sz w:val="24"/>
          <w:szCs w:val="24"/>
        </w:rPr>
        <w:t>e</w:t>
      </w:r>
      <w:r w:rsidR="001B4513" w:rsidRPr="00005410">
        <w:rPr>
          <w:rFonts w:ascii="Times New Roman" w:hAnsi="Times New Roman" w:cs="Times New Roman"/>
          <w:sz w:val="24"/>
          <w:szCs w:val="24"/>
        </w:rPr>
        <w:t xml:space="preserve">, policealne i średnie zawodowe oraz zasadnicze zawodowe. </w:t>
      </w:r>
      <w:r w:rsidR="000D2255" w:rsidRPr="00005410">
        <w:rPr>
          <w:rFonts w:ascii="Times New Roman" w:hAnsi="Times New Roman" w:cs="Times New Roman"/>
          <w:sz w:val="24"/>
          <w:szCs w:val="24"/>
        </w:rPr>
        <w:t>Struktura</w:t>
      </w:r>
      <w:r w:rsidR="006321C3" w:rsidRPr="00005410">
        <w:rPr>
          <w:rFonts w:ascii="Times New Roman" w:hAnsi="Times New Roman" w:cs="Times New Roman"/>
          <w:sz w:val="24"/>
          <w:szCs w:val="24"/>
        </w:rPr>
        <w:t xml:space="preserve"> </w:t>
      </w:r>
      <w:r w:rsidR="000D2255" w:rsidRPr="00005410">
        <w:rPr>
          <w:rFonts w:ascii="Times New Roman" w:hAnsi="Times New Roman" w:cs="Times New Roman"/>
          <w:sz w:val="24"/>
          <w:szCs w:val="24"/>
        </w:rPr>
        <w:t>ta prz</w:t>
      </w:r>
      <w:r w:rsidR="006321C3" w:rsidRPr="00005410">
        <w:rPr>
          <w:rFonts w:ascii="Times New Roman" w:hAnsi="Times New Roman" w:cs="Times New Roman"/>
          <w:sz w:val="24"/>
          <w:szCs w:val="24"/>
        </w:rPr>
        <w:t>e</w:t>
      </w:r>
      <w:r w:rsidR="000D2255" w:rsidRPr="00005410">
        <w:rPr>
          <w:rFonts w:ascii="Times New Roman" w:hAnsi="Times New Roman" w:cs="Times New Roman"/>
          <w:sz w:val="24"/>
          <w:szCs w:val="24"/>
        </w:rPr>
        <w:t>dst</w:t>
      </w:r>
      <w:r w:rsidR="006321C3" w:rsidRPr="00005410">
        <w:rPr>
          <w:rFonts w:ascii="Times New Roman" w:hAnsi="Times New Roman" w:cs="Times New Roman"/>
          <w:sz w:val="24"/>
          <w:szCs w:val="24"/>
        </w:rPr>
        <w:t>a</w:t>
      </w:r>
      <w:r w:rsidR="000D2255" w:rsidRPr="00005410">
        <w:rPr>
          <w:rFonts w:ascii="Times New Roman" w:hAnsi="Times New Roman" w:cs="Times New Roman"/>
          <w:sz w:val="24"/>
          <w:szCs w:val="24"/>
        </w:rPr>
        <w:t>wi</w:t>
      </w:r>
      <w:r w:rsidR="006321C3" w:rsidRPr="00005410">
        <w:rPr>
          <w:rFonts w:ascii="Times New Roman" w:hAnsi="Times New Roman" w:cs="Times New Roman"/>
          <w:sz w:val="24"/>
          <w:szCs w:val="24"/>
        </w:rPr>
        <w:t>a</w:t>
      </w:r>
      <w:r w:rsidR="000D2255" w:rsidRPr="00005410">
        <w:rPr>
          <w:rFonts w:ascii="Times New Roman" w:hAnsi="Times New Roman" w:cs="Times New Roman"/>
          <w:sz w:val="24"/>
          <w:szCs w:val="24"/>
        </w:rPr>
        <w:t xml:space="preserve"> się pod</w:t>
      </w:r>
      <w:r w:rsidR="006321C3" w:rsidRPr="00005410">
        <w:rPr>
          <w:rFonts w:ascii="Times New Roman" w:hAnsi="Times New Roman" w:cs="Times New Roman"/>
          <w:sz w:val="24"/>
          <w:szCs w:val="24"/>
        </w:rPr>
        <w:t>o</w:t>
      </w:r>
      <w:r w:rsidR="000D2255" w:rsidRPr="00005410">
        <w:rPr>
          <w:rFonts w:ascii="Times New Roman" w:hAnsi="Times New Roman" w:cs="Times New Roman"/>
          <w:sz w:val="24"/>
          <w:szCs w:val="24"/>
        </w:rPr>
        <w:t>bnie w uj</w:t>
      </w:r>
      <w:r w:rsidR="006321C3" w:rsidRPr="00005410">
        <w:rPr>
          <w:rFonts w:ascii="Times New Roman" w:hAnsi="Times New Roman" w:cs="Times New Roman"/>
          <w:sz w:val="24"/>
          <w:szCs w:val="24"/>
        </w:rPr>
        <w:t>ę</w:t>
      </w:r>
      <w:r w:rsidR="000D2255" w:rsidRPr="00005410">
        <w:rPr>
          <w:rFonts w:ascii="Times New Roman" w:hAnsi="Times New Roman" w:cs="Times New Roman"/>
          <w:sz w:val="24"/>
          <w:szCs w:val="24"/>
        </w:rPr>
        <w:t>ciu według p</w:t>
      </w:r>
      <w:r w:rsidR="006321C3" w:rsidRPr="00005410">
        <w:rPr>
          <w:rFonts w:ascii="Times New Roman" w:hAnsi="Times New Roman" w:cs="Times New Roman"/>
          <w:sz w:val="24"/>
          <w:szCs w:val="24"/>
        </w:rPr>
        <w:t>ł</w:t>
      </w:r>
      <w:r w:rsidR="00583478" w:rsidRPr="00005410">
        <w:rPr>
          <w:rFonts w:ascii="Times New Roman" w:hAnsi="Times New Roman" w:cs="Times New Roman"/>
          <w:sz w:val="24"/>
          <w:szCs w:val="24"/>
        </w:rPr>
        <w:t>ci, z tym, ż</w:t>
      </w:r>
      <w:r w:rsidR="000D2255" w:rsidRPr="00005410">
        <w:rPr>
          <w:rFonts w:ascii="Times New Roman" w:hAnsi="Times New Roman" w:cs="Times New Roman"/>
          <w:sz w:val="24"/>
          <w:szCs w:val="24"/>
        </w:rPr>
        <w:t>e w</w:t>
      </w:r>
      <w:r w:rsidR="006321C3" w:rsidRPr="00005410">
        <w:rPr>
          <w:rFonts w:ascii="Times New Roman" w:hAnsi="Times New Roman" w:cs="Times New Roman"/>
          <w:sz w:val="24"/>
          <w:szCs w:val="24"/>
        </w:rPr>
        <w:t>śró</w:t>
      </w:r>
      <w:r w:rsidR="000D2255" w:rsidRPr="00005410">
        <w:rPr>
          <w:rFonts w:ascii="Times New Roman" w:hAnsi="Times New Roman" w:cs="Times New Roman"/>
          <w:sz w:val="24"/>
          <w:szCs w:val="24"/>
        </w:rPr>
        <w:t>d kobi</w:t>
      </w:r>
      <w:r w:rsidR="006321C3" w:rsidRPr="00005410">
        <w:rPr>
          <w:rFonts w:ascii="Times New Roman" w:hAnsi="Times New Roman" w:cs="Times New Roman"/>
          <w:sz w:val="24"/>
          <w:szCs w:val="24"/>
        </w:rPr>
        <w:t>et</w:t>
      </w:r>
      <w:r w:rsidR="000D2255" w:rsidRPr="00005410">
        <w:rPr>
          <w:rFonts w:ascii="Times New Roman" w:hAnsi="Times New Roman" w:cs="Times New Roman"/>
          <w:sz w:val="24"/>
          <w:szCs w:val="24"/>
        </w:rPr>
        <w:t xml:space="preserve"> mniej jest osób z </w:t>
      </w:r>
      <w:r w:rsidR="006321C3" w:rsidRPr="00005410">
        <w:rPr>
          <w:rFonts w:ascii="Times New Roman" w:hAnsi="Times New Roman" w:cs="Times New Roman"/>
          <w:sz w:val="24"/>
          <w:szCs w:val="24"/>
        </w:rPr>
        <w:t>w</w:t>
      </w:r>
      <w:r w:rsidR="000D2255" w:rsidRPr="00005410">
        <w:rPr>
          <w:rFonts w:ascii="Times New Roman" w:hAnsi="Times New Roman" w:cs="Times New Roman"/>
          <w:sz w:val="24"/>
          <w:szCs w:val="24"/>
        </w:rPr>
        <w:t>yks</w:t>
      </w:r>
      <w:r w:rsidR="006321C3" w:rsidRPr="00005410">
        <w:rPr>
          <w:rFonts w:ascii="Times New Roman" w:hAnsi="Times New Roman" w:cs="Times New Roman"/>
          <w:sz w:val="24"/>
          <w:szCs w:val="24"/>
        </w:rPr>
        <w:t>z</w:t>
      </w:r>
      <w:r w:rsidR="000D2255" w:rsidRPr="00005410">
        <w:rPr>
          <w:rFonts w:ascii="Times New Roman" w:hAnsi="Times New Roman" w:cs="Times New Roman"/>
          <w:sz w:val="24"/>
          <w:szCs w:val="24"/>
        </w:rPr>
        <w:t>tałceniem zasadniczym za</w:t>
      </w:r>
      <w:r w:rsidR="006321C3" w:rsidRPr="00005410">
        <w:rPr>
          <w:rFonts w:ascii="Times New Roman" w:hAnsi="Times New Roman" w:cs="Times New Roman"/>
          <w:sz w:val="24"/>
          <w:szCs w:val="24"/>
        </w:rPr>
        <w:t>w</w:t>
      </w:r>
      <w:r w:rsidR="000D2255" w:rsidRPr="00005410">
        <w:rPr>
          <w:rFonts w:ascii="Times New Roman" w:hAnsi="Times New Roman" w:cs="Times New Roman"/>
          <w:sz w:val="24"/>
          <w:szCs w:val="24"/>
        </w:rPr>
        <w:t>odowym</w:t>
      </w:r>
      <w:r w:rsidR="006321C3" w:rsidRPr="00005410">
        <w:rPr>
          <w:rFonts w:ascii="Times New Roman" w:hAnsi="Times New Roman" w:cs="Times New Roman"/>
          <w:sz w:val="24"/>
          <w:szCs w:val="24"/>
        </w:rPr>
        <w:t xml:space="preserve"> aniżeli wśród mężczyzn</w:t>
      </w:r>
      <w:r w:rsidR="00583478" w:rsidRPr="00005410">
        <w:rPr>
          <w:rFonts w:ascii="Times New Roman" w:hAnsi="Times New Roman" w:cs="Times New Roman"/>
          <w:sz w:val="24"/>
          <w:szCs w:val="24"/>
        </w:rPr>
        <w:t xml:space="preserve"> (odpowiednie </w:t>
      </w:r>
      <w:r w:rsidR="00D50BD3" w:rsidRPr="00005410">
        <w:rPr>
          <w:rFonts w:ascii="Times New Roman" w:hAnsi="Times New Roman" w:cs="Times New Roman"/>
          <w:sz w:val="24"/>
          <w:szCs w:val="24"/>
        </w:rPr>
        <w:t>udziały</w:t>
      </w:r>
      <w:r w:rsidR="00583478" w:rsidRPr="00005410">
        <w:rPr>
          <w:rFonts w:ascii="Times New Roman" w:hAnsi="Times New Roman" w:cs="Times New Roman"/>
          <w:sz w:val="24"/>
          <w:szCs w:val="24"/>
        </w:rPr>
        <w:t xml:space="preserve"> wynoszą bowiem 14,7% i 30,6%)</w:t>
      </w:r>
      <w:r w:rsidR="006321C3" w:rsidRPr="00005410">
        <w:rPr>
          <w:rFonts w:ascii="Times New Roman" w:hAnsi="Times New Roman" w:cs="Times New Roman"/>
          <w:sz w:val="24"/>
          <w:szCs w:val="24"/>
        </w:rPr>
        <w:t xml:space="preserve">, natomiast więcej </w:t>
      </w:r>
      <w:r w:rsidR="00FA7920" w:rsidRPr="00005410">
        <w:rPr>
          <w:rFonts w:ascii="Times New Roman" w:hAnsi="Times New Roman" w:cs="Times New Roman"/>
          <w:sz w:val="24"/>
          <w:szCs w:val="24"/>
        </w:rPr>
        <w:t>kobiet</w:t>
      </w:r>
      <w:r w:rsidR="006321C3" w:rsidRPr="00005410">
        <w:rPr>
          <w:rFonts w:ascii="Times New Roman" w:hAnsi="Times New Roman" w:cs="Times New Roman"/>
          <w:sz w:val="24"/>
          <w:szCs w:val="24"/>
        </w:rPr>
        <w:t xml:space="preserve"> legitymuje się wykształceniem średnim ogólnokształcącym </w:t>
      </w:r>
      <w:r w:rsidR="00583478" w:rsidRPr="00005410">
        <w:rPr>
          <w:rFonts w:ascii="Times New Roman" w:hAnsi="Times New Roman" w:cs="Times New Roman"/>
          <w:sz w:val="24"/>
          <w:szCs w:val="24"/>
        </w:rPr>
        <w:t>(1</w:t>
      </w:r>
      <w:r w:rsidR="009C09E6" w:rsidRPr="00005410">
        <w:rPr>
          <w:rFonts w:ascii="Times New Roman" w:hAnsi="Times New Roman" w:cs="Times New Roman"/>
          <w:sz w:val="24"/>
          <w:szCs w:val="24"/>
        </w:rPr>
        <w:t>4</w:t>
      </w:r>
      <w:r w:rsidR="00583478" w:rsidRPr="00005410">
        <w:rPr>
          <w:rFonts w:ascii="Times New Roman" w:hAnsi="Times New Roman" w:cs="Times New Roman"/>
          <w:sz w:val="24"/>
          <w:szCs w:val="24"/>
        </w:rPr>
        <w:t>,1</w:t>
      </w:r>
      <w:r w:rsidR="00CF0B40" w:rsidRPr="00005410">
        <w:rPr>
          <w:rFonts w:ascii="Times New Roman" w:hAnsi="Times New Roman" w:cs="Times New Roman"/>
          <w:sz w:val="24"/>
          <w:szCs w:val="24"/>
        </w:rPr>
        <w:t xml:space="preserve">%, podczas gdy mężczyzn – </w:t>
      </w:r>
      <w:r w:rsidR="009C09E6" w:rsidRPr="00005410">
        <w:rPr>
          <w:rFonts w:ascii="Times New Roman" w:hAnsi="Times New Roman" w:cs="Times New Roman"/>
          <w:sz w:val="24"/>
          <w:szCs w:val="24"/>
        </w:rPr>
        <w:t>9</w:t>
      </w:r>
      <w:r w:rsidR="00CF0B40" w:rsidRPr="00005410">
        <w:rPr>
          <w:rFonts w:ascii="Times New Roman" w:hAnsi="Times New Roman" w:cs="Times New Roman"/>
          <w:sz w:val="24"/>
          <w:szCs w:val="24"/>
        </w:rPr>
        <w:t>,</w:t>
      </w:r>
      <w:r w:rsidR="009C09E6" w:rsidRPr="00005410">
        <w:rPr>
          <w:rFonts w:ascii="Times New Roman" w:hAnsi="Times New Roman" w:cs="Times New Roman"/>
          <w:sz w:val="24"/>
          <w:szCs w:val="24"/>
        </w:rPr>
        <w:t>8</w:t>
      </w:r>
      <w:r w:rsidR="00CF0B40" w:rsidRPr="00005410">
        <w:rPr>
          <w:rFonts w:ascii="Times New Roman" w:hAnsi="Times New Roman" w:cs="Times New Roman"/>
          <w:sz w:val="24"/>
          <w:szCs w:val="24"/>
        </w:rPr>
        <w:t>%)</w:t>
      </w:r>
      <w:r w:rsidR="006321C3" w:rsidRPr="00005410">
        <w:rPr>
          <w:rFonts w:ascii="Times New Roman" w:hAnsi="Times New Roman" w:cs="Times New Roman"/>
          <w:sz w:val="24"/>
          <w:szCs w:val="24"/>
        </w:rPr>
        <w:t>.</w:t>
      </w:r>
      <w:r w:rsidR="00B6149C" w:rsidRPr="00005410">
        <w:rPr>
          <w:rFonts w:ascii="Times New Roman" w:hAnsi="Times New Roman" w:cs="Times New Roman"/>
          <w:sz w:val="24"/>
          <w:szCs w:val="24"/>
        </w:rPr>
        <w:t xml:space="preserve"> Znaczny wpływ na ten stan rzeczy ma także podstawowa struktura ludności według wykształcenia. </w:t>
      </w:r>
    </w:p>
    <w:p w:rsidR="00961722" w:rsidRPr="00005410" w:rsidRDefault="00961722" w:rsidP="00ED4CA3">
      <w:pPr>
        <w:keepNext/>
        <w:spacing w:before="200" w:after="100"/>
        <w:jc w:val="both"/>
        <w:rPr>
          <w:rFonts w:ascii="Times New Roman" w:hAnsi="Times New Roman" w:cs="Times New Roman"/>
          <w:b/>
          <w:sz w:val="20"/>
          <w:szCs w:val="20"/>
        </w:rPr>
      </w:pPr>
      <w:r w:rsidRPr="00005410">
        <w:rPr>
          <w:rFonts w:ascii="Times New Roman" w:hAnsi="Times New Roman" w:cs="Times New Roman"/>
          <w:b/>
          <w:sz w:val="20"/>
          <w:szCs w:val="20"/>
        </w:rPr>
        <w:lastRenderedPageBreak/>
        <w:t xml:space="preserve">Wykres </w:t>
      </w:r>
      <w:r w:rsidR="00D55B40">
        <w:rPr>
          <w:rFonts w:ascii="Times New Roman" w:hAnsi="Times New Roman" w:cs="Times New Roman"/>
          <w:b/>
          <w:sz w:val="20"/>
          <w:szCs w:val="20"/>
        </w:rPr>
        <w:t>6</w:t>
      </w:r>
      <w:r w:rsidR="0029666D">
        <w:rPr>
          <w:rFonts w:ascii="Times New Roman" w:hAnsi="Times New Roman" w:cs="Times New Roman"/>
          <w:b/>
          <w:sz w:val="20"/>
          <w:szCs w:val="20"/>
        </w:rPr>
        <w:t>.4</w:t>
      </w:r>
      <w:r w:rsidRPr="00005410">
        <w:rPr>
          <w:rFonts w:ascii="Times New Roman" w:hAnsi="Times New Roman" w:cs="Times New Roman"/>
          <w:b/>
          <w:sz w:val="20"/>
          <w:szCs w:val="20"/>
        </w:rPr>
        <w:t>. Struktura dojeżdżających do pracy według wieku</w:t>
      </w:r>
      <w:r w:rsidR="00D856DD" w:rsidRPr="00005410">
        <w:rPr>
          <w:rFonts w:ascii="Times New Roman" w:hAnsi="Times New Roman" w:cs="Times New Roman"/>
          <w:b/>
          <w:sz w:val="20"/>
          <w:szCs w:val="20"/>
        </w:rPr>
        <w:t xml:space="preserve"> (w %)</w:t>
      </w:r>
    </w:p>
    <w:p w:rsidR="00961722" w:rsidRPr="0024503A" w:rsidRDefault="001409E4" w:rsidP="00ED4CA3">
      <w:pPr>
        <w:keepNext/>
        <w:spacing w:before="200" w:after="100"/>
        <w:jc w:val="both"/>
        <w:rPr>
          <w:rFonts w:asciiTheme="majorHAnsi" w:hAnsiTheme="majorHAnsi"/>
        </w:rPr>
      </w:pPr>
      <w:r w:rsidRPr="001409E4">
        <w:rPr>
          <w:noProof/>
          <w:lang w:eastAsia="pl-PL"/>
        </w:rPr>
        <w:pict>
          <v:shapetype id="_x0000_t202" coordsize="21600,21600" o:spt="202" path="m,l,21600r21600,l21600,xe">
            <v:stroke joinstyle="miter"/>
            <v:path gradientshapeok="t" o:connecttype="rect"/>
          </v:shapetype>
          <v:shape id="_x0000_s1029" type="#_x0000_t202" style="position:absolute;left:0;text-align:left;margin-left:360.75pt;margin-top:29.05pt;width:55.05pt;height:14.25pt;z-index:251660288;v-text-anchor:middle" filled="f" stroked="f">
            <v:textbox style="mso-next-textbox:#_x0000_s1029" inset="0,0,0,0">
              <w:txbxContent>
                <w:p w:rsidR="0015006C" w:rsidRPr="00171FEA" w:rsidRDefault="0015006C">
                  <w:pPr>
                    <w:rPr>
                      <w:sz w:val="20"/>
                      <w:szCs w:val="20"/>
                    </w:rPr>
                  </w:pPr>
                  <w:r>
                    <w:rPr>
                      <w:sz w:val="20"/>
                      <w:szCs w:val="20"/>
                    </w:rPr>
                    <w:t>g</w:t>
                  </w:r>
                  <w:r w:rsidRPr="004F555F">
                    <w:rPr>
                      <w:sz w:val="20"/>
                      <w:szCs w:val="20"/>
                    </w:rPr>
                    <w:t>rupy wieku:</w:t>
                  </w:r>
                </w:p>
              </w:txbxContent>
            </v:textbox>
          </v:shape>
        </w:pict>
      </w:r>
      <w:r w:rsidR="009601FC" w:rsidRPr="00D41159">
        <w:rPr>
          <w:noProof/>
          <w:lang w:eastAsia="pl-PL"/>
        </w:rPr>
        <w:drawing>
          <wp:inline distT="0" distB="0" distL="0" distR="0">
            <wp:extent cx="5495925" cy="2857500"/>
            <wp:effectExtent l="0" t="0" r="0" b="0"/>
            <wp:docPr id="9" name="Wykres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D0266" w:rsidRDefault="00CD0266" w:rsidP="00005410">
      <w:pPr>
        <w:pStyle w:val="tekstgl"/>
        <w:spacing w:after="0" w:line="360" w:lineRule="auto"/>
        <w:ind w:firstLine="709"/>
        <w:rPr>
          <w:rFonts w:ascii="Times New Roman" w:hAnsi="Times New Roman" w:cs="Times New Roman"/>
          <w:sz w:val="24"/>
          <w:szCs w:val="24"/>
        </w:rPr>
      </w:pPr>
    </w:p>
    <w:p w:rsidR="00483FDE" w:rsidRPr="00005410" w:rsidRDefault="00315C46" w:rsidP="00005410">
      <w:pPr>
        <w:pStyle w:val="tekstgl"/>
        <w:spacing w:after="0" w:line="360" w:lineRule="auto"/>
        <w:ind w:firstLine="709"/>
        <w:rPr>
          <w:rFonts w:ascii="Times New Roman" w:hAnsi="Times New Roman" w:cs="Times New Roman"/>
          <w:sz w:val="24"/>
          <w:szCs w:val="24"/>
        </w:rPr>
      </w:pPr>
      <w:r w:rsidRPr="00005410">
        <w:rPr>
          <w:rFonts w:ascii="Times New Roman" w:hAnsi="Times New Roman" w:cs="Times New Roman"/>
          <w:sz w:val="24"/>
          <w:szCs w:val="24"/>
        </w:rPr>
        <w:t>Wśród dojeżdżających do pracy liczebn</w:t>
      </w:r>
      <w:r w:rsidR="008D2E5C" w:rsidRPr="00005410">
        <w:rPr>
          <w:rFonts w:ascii="Times New Roman" w:hAnsi="Times New Roman" w:cs="Times New Roman"/>
          <w:sz w:val="24"/>
          <w:szCs w:val="24"/>
        </w:rPr>
        <w:t xml:space="preserve">ie dominowały osoby </w:t>
      </w:r>
      <w:r w:rsidR="00961722" w:rsidRPr="00005410">
        <w:rPr>
          <w:rFonts w:ascii="Times New Roman" w:hAnsi="Times New Roman" w:cs="Times New Roman"/>
          <w:sz w:val="24"/>
          <w:szCs w:val="24"/>
        </w:rPr>
        <w:t xml:space="preserve">w wieku od 25 do 34 lat, a najmniejszą </w:t>
      </w:r>
      <w:r w:rsidRPr="00005410">
        <w:rPr>
          <w:rFonts w:ascii="Times New Roman" w:hAnsi="Times New Roman" w:cs="Times New Roman"/>
          <w:sz w:val="24"/>
          <w:szCs w:val="24"/>
        </w:rPr>
        <w:t>grupę stanowi</w:t>
      </w:r>
      <w:r w:rsidR="0055785C" w:rsidRPr="00005410">
        <w:rPr>
          <w:rFonts w:ascii="Times New Roman" w:hAnsi="Times New Roman" w:cs="Times New Roman"/>
          <w:sz w:val="24"/>
          <w:szCs w:val="24"/>
        </w:rPr>
        <w:t>ły osoby w wieku 65 i więcej lat</w:t>
      </w:r>
      <w:r w:rsidR="00961722" w:rsidRPr="00005410">
        <w:rPr>
          <w:rFonts w:ascii="Times New Roman" w:hAnsi="Times New Roman" w:cs="Times New Roman"/>
          <w:sz w:val="24"/>
          <w:szCs w:val="24"/>
        </w:rPr>
        <w:t xml:space="preserve">. </w:t>
      </w:r>
      <w:r w:rsidR="00BE547A" w:rsidRPr="00005410">
        <w:rPr>
          <w:rFonts w:ascii="Times New Roman" w:hAnsi="Times New Roman" w:cs="Times New Roman"/>
          <w:sz w:val="24"/>
          <w:szCs w:val="24"/>
        </w:rPr>
        <w:t>Warto też zauważyć, ż</w:t>
      </w:r>
      <w:r w:rsidR="0081256C" w:rsidRPr="00005410">
        <w:rPr>
          <w:rFonts w:ascii="Times New Roman" w:hAnsi="Times New Roman" w:cs="Times New Roman"/>
          <w:sz w:val="24"/>
          <w:szCs w:val="24"/>
        </w:rPr>
        <w:t>e ponad 8</w:t>
      </w:r>
      <w:r w:rsidR="00BE547A" w:rsidRPr="00005410">
        <w:rPr>
          <w:rFonts w:ascii="Times New Roman" w:hAnsi="Times New Roman" w:cs="Times New Roman"/>
          <w:sz w:val="24"/>
          <w:szCs w:val="24"/>
        </w:rPr>
        <w:t>8</w:t>
      </w:r>
      <w:r w:rsidR="00961722" w:rsidRPr="00005410">
        <w:rPr>
          <w:rFonts w:ascii="Times New Roman" w:hAnsi="Times New Roman" w:cs="Times New Roman"/>
          <w:sz w:val="24"/>
          <w:szCs w:val="24"/>
        </w:rPr>
        <w:t>% dojeżdżają</w:t>
      </w:r>
      <w:r w:rsidR="00334633" w:rsidRPr="00005410">
        <w:rPr>
          <w:rFonts w:ascii="Times New Roman" w:hAnsi="Times New Roman" w:cs="Times New Roman"/>
          <w:sz w:val="24"/>
          <w:szCs w:val="24"/>
        </w:rPr>
        <w:t>cych t</w:t>
      </w:r>
      <w:r w:rsidR="00961722" w:rsidRPr="00005410">
        <w:rPr>
          <w:rFonts w:ascii="Times New Roman" w:hAnsi="Times New Roman" w:cs="Times New Roman"/>
          <w:sz w:val="24"/>
          <w:szCs w:val="24"/>
        </w:rPr>
        <w:t>o o</w:t>
      </w:r>
      <w:r w:rsidR="00334633" w:rsidRPr="00005410">
        <w:rPr>
          <w:rFonts w:ascii="Times New Roman" w:hAnsi="Times New Roman" w:cs="Times New Roman"/>
          <w:sz w:val="24"/>
          <w:szCs w:val="24"/>
        </w:rPr>
        <w:t>soby w wi</w:t>
      </w:r>
      <w:r w:rsidR="00961722" w:rsidRPr="00005410">
        <w:rPr>
          <w:rFonts w:ascii="Times New Roman" w:hAnsi="Times New Roman" w:cs="Times New Roman"/>
          <w:sz w:val="24"/>
          <w:szCs w:val="24"/>
        </w:rPr>
        <w:t xml:space="preserve">eku do 54 lat. Podobne proporcje w tym zakresie obserwuje się dla każdej z płci, przy czym </w:t>
      </w:r>
      <w:r w:rsidRPr="00005410">
        <w:rPr>
          <w:rFonts w:ascii="Times New Roman" w:hAnsi="Times New Roman" w:cs="Times New Roman"/>
          <w:sz w:val="24"/>
          <w:szCs w:val="24"/>
        </w:rPr>
        <w:t>kobiet</w:t>
      </w:r>
      <w:r w:rsidR="00961722" w:rsidRPr="00005410">
        <w:rPr>
          <w:rFonts w:ascii="Times New Roman" w:hAnsi="Times New Roman" w:cs="Times New Roman"/>
          <w:sz w:val="24"/>
          <w:szCs w:val="24"/>
        </w:rPr>
        <w:t xml:space="preserve"> w </w:t>
      </w:r>
      <w:r w:rsidR="002E6041">
        <w:rPr>
          <w:rFonts w:ascii="Times New Roman" w:hAnsi="Times New Roman" w:cs="Times New Roman"/>
          <w:sz w:val="24"/>
          <w:szCs w:val="24"/>
        </w:rPr>
        <w:t>wieku 55 – 64 lat jest o 3,5 p.</w:t>
      </w:r>
      <w:r w:rsidR="00961722" w:rsidRPr="00005410">
        <w:rPr>
          <w:rFonts w:ascii="Times New Roman" w:hAnsi="Times New Roman" w:cs="Times New Roman"/>
          <w:sz w:val="24"/>
          <w:szCs w:val="24"/>
        </w:rPr>
        <w:t xml:space="preserve"> proc. mniej niż </w:t>
      </w:r>
      <w:r w:rsidRPr="00005410">
        <w:rPr>
          <w:rFonts w:ascii="Times New Roman" w:hAnsi="Times New Roman" w:cs="Times New Roman"/>
          <w:sz w:val="24"/>
          <w:szCs w:val="24"/>
        </w:rPr>
        <w:t>mężczyzn</w:t>
      </w:r>
      <w:r w:rsidR="00961722" w:rsidRPr="00005410">
        <w:rPr>
          <w:rFonts w:ascii="Times New Roman" w:hAnsi="Times New Roman" w:cs="Times New Roman"/>
          <w:sz w:val="24"/>
          <w:szCs w:val="24"/>
        </w:rPr>
        <w:t xml:space="preserve">. Natomiast kobiety wykazują nieznaczną przewagę w kategoriach najliczniej reprezentowanych (szczególnie w wieku 45 – 54 lat, gdzie odpowiedni </w:t>
      </w:r>
      <w:r w:rsidR="00D50BD3" w:rsidRPr="00005410">
        <w:rPr>
          <w:rFonts w:ascii="Times New Roman" w:hAnsi="Times New Roman" w:cs="Times New Roman"/>
          <w:sz w:val="24"/>
          <w:szCs w:val="24"/>
        </w:rPr>
        <w:t>udział</w:t>
      </w:r>
      <w:r w:rsidR="002E6041">
        <w:rPr>
          <w:rFonts w:ascii="Times New Roman" w:hAnsi="Times New Roman" w:cs="Times New Roman"/>
          <w:sz w:val="24"/>
          <w:szCs w:val="24"/>
        </w:rPr>
        <w:t xml:space="preserve"> jest większy o </w:t>
      </w:r>
      <w:r w:rsidR="00961722" w:rsidRPr="00005410">
        <w:rPr>
          <w:rFonts w:ascii="Times New Roman" w:hAnsi="Times New Roman" w:cs="Times New Roman"/>
          <w:sz w:val="24"/>
          <w:szCs w:val="24"/>
        </w:rPr>
        <w:t xml:space="preserve">2,7 </w:t>
      </w:r>
      <w:r w:rsidR="002E6041">
        <w:rPr>
          <w:rFonts w:ascii="Times New Roman" w:hAnsi="Times New Roman" w:cs="Times New Roman"/>
          <w:sz w:val="24"/>
          <w:szCs w:val="24"/>
        </w:rPr>
        <w:t>p.</w:t>
      </w:r>
      <w:r w:rsidR="00961722" w:rsidRPr="00005410">
        <w:rPr>
          <w:rFonts w:ascii="Times New Roman" w:hAnsi="Times New Roman" w:cs="Times New Roman"/>
          <w:sz w:val="24"/>
          <w:szCs w:val="24"/>
        </w:rPr>
        <w:t xml:space="preserve"> proc. od </w:t>
      </w:r>
      <w:r w:rsidR="00363BE5" w:rsidRPr="00005410">
        <w:rPr>
          <w:rFonts w:ascii="Times New Roman" w:hAnsi="Times New Roman" w:cs="Times New Roman"/>
          <w:sz w:val="24"/>
          <w:szCs w:val="24"/>
        </w:rPr>
        <w:t>analogicznego dla mężczyzn</w:t>
      </w:r>
      <w:r w:rsidR="00961722" w:rsidRPr="00005410">
        <w:rPr>
          <w:rFonts w:ascii="Times New Roman" w:hAnsi="Times New Roman" w:cs="Times New Roman"/>
          <w:sz w:val="24"/>
          <w:szCs w:val="24"/>
        </w:rPr>
        <w:t>).</w:t>
      </w:r>
    </w:p>
    <w:p w:rsidR="006138BE" w:rsidRPr="00243CD6" w:rsidRDefault="00DE1EC4" w:rsidP="00610A6A">
      <w:pPr>
        <w:keepNext/>
        <w:tabs>
          <w:tab w:val="left" w:pos="426"/>
        </w:tabs>
        <w:spacing w:before="200"/>
        <w:ind w:left="709" w:hanging="709"/>
        <w:jc w:val="both"/>
        <w:rPr>
          <w:rFonts w:ascii="Times New Roman" w:hAnsi="Times New Roman" w:cs="Times New Roman"/>
          <w:b/>
          <w:sz w:val="28"/>
          <w:szCs w:val="28"/>
        </w:rPr>
      </w:pPr>
      <w:r w:rsidRPr="00243CD6">
        <w:rPr>
          <w:rFonts w:ascii="Times New Roman" w:hAnsi="Times New Roman" w:cs="Times New Roman"/>
          <w:b/>
          <w:sz w:val="28"/>
          <w:szCs w:val="28"/>
        </w:rPr>
        <w:t xml:space="preserve">6.2. </w:t>
      </w:r>
      <w:r w:rsidR="00933450" w:rsidRPr="00243CD6">
        <w:rPr>
          <w:rFonts w:ascii="Times New Roman" w:hAnsi="Times New Roman" w:cs="Times New Roman"/>
          <w:b/>
          <w:sz w:val="28"/>
          <w:szCs w:val="28"/>
        </w:rPr>
        <w:t xml:space="preserve">Odległość </w:t>
      </w:r>
      <w:r w:rsidR="009B1E9B" w:rsidRPr="00243CD6">
        <w:rPr>
          <w:rFonts w:ascii="Times New Roman" w:hAnsi="Times New Roman" w:cs="Times New Roman"/>
          <w:b/>
          <w:sz w:val="28"/>
          <w:szCs w:val="28"/>
        </w:rPr>
        <w:t xml:space="preserve">miejsca zamieszkania od głównego miejsca </w:t>
      </w:r>
      <w:r w:rsidR="00933450" w:rsidRPr="00243CD6">
        <w:rPr>
          <w:rFonts w:ascii="Times New Roman" w:hAnsi="Times New Roman" w:cs="Times New Roman"/>
          <w:b/>
          <w:sz w:val="28"/>
          <w:szCs w:val="28"/>
        </w:rPr>
        <w:t>pracy</w:t>
      </w:r>
      <w:r w:rsidR="009B1E9B" w:rsidRPr="00243CD6">
        <w:rPr>
          <w:rFonts w:ascii="Times New Roman" w:hAnsi="Times New Roman" w:cs="Times New Roman"/>
          <w:b/>
          <w:sz w:val="28"/>
          <w:szCs w:val="28"/>
        </w:rPr>
        <w:t xml:space="preserve"> dla osób dojeżdżających</w:t>
      </w:r>
      <w:r w:rsidR="00816583" w:rsidRPr="00243CD6">
        <w:rPr>
          <w:rStyle w:val="Odwoanieprzypisudolnego"/>
          <w:rFonts w:ascii="Times New Roman" w:hAnsi="Times New Roman" w:cs="Times New Roman"/>
          <w:b/>
          <w:sz w:val="28"/>
          <w:szCs w:val="28"/>
        </w:rPr>
        <w:footnoteReference w:id="4"/>
      </w:r>
      <w:r w:rsidR="009B1E9B" w:rsidRPr="00243CD6">
        <w:rPr>
          <w:rFonts w:ascii="Times New Roman" w:hAnsi="Times New Roman" w:cs="Times New Roman"/>
          <w:b/>
          <w:sz w:val="28"/>
          <w:szCs w:val="28"/>
        </w:rPr>
        <w:t xml:space="preserve"> </w:t>
      </w:r>
    </w:p>
    <w:p w:rsidR="0003448F" w:rsidRPr="00005410" w:rsidRDefault="0003448F" w:rsidP="00CD0266">
      <w:pPr>
        <w:pStyle w:val="tekstgl"/>
        <w:spacing w:after="0" w:line="360" w:lineRule="auto"/>
        <w:ind w:firstLine="709"/>
        <w:rPr>
          <w:rFonts w:ascii="Times New Roman" w:hAnsi="Times New Roman" w:cs="Times New Roman"/>
          <w:sz w:val="24"/>
          <w:szCs w:val="24"/>
        </w:rPr>
      </w:pPr>
      <w:r w:rsidRPr="00005410">
        <w:rPr>
          <w:rFonts w:ascii="Times New Roman" w:hAnsi="Times New Roman" w:cs="Times New Roman"/>
          <w:sz w:val="24"/>
          <w:szCs w:val="24"/>
        </w:rPr>
        <w:t xml:space="preserve">Wśród ogółu dojeżdżających do pracy </w:t>
      </w:r>
      <w:r w:rsidR="00DB6034" w:rsidRPr="00005410">
        <w:rPr>
          <w:rFonts w:ascii="Times New Roman" w:hAnsi="Times New Roman" w:cs="Times New Roman"/>
          <w:sz w:val="24"/>
          <w:szCs w:val="24"/>
        </w:rPr>
        <w:t>2649</w:t>
      </w:r>
      <w:r w:rsidR="007F027A" w:rsidRPr="00005410">
        <w:rPr>
          <w:rFonts w:ascii="Times New Roman" w:hAnsi="Times New Roman" w:cs="Times New Roman"/>
          <w:sz w:val="24"/>
          <w:szCs w:val="24"/>
        </w:rPr>
        <w:t>,9</w:t>
      </w:r>
      <w:r w:rsidRPr="00005410">
        <w:rPr>
          <w:rFonts w:ascii="Times New Roman" w:hAnsi="Times New Roman" w:cs="Times New Roman"/>
          <w:sz w:val="24"/>
          <w:szCs w:val="24"/>
        </w:rPr>
        <w:t xml:space="preserve"> </w:t>
      </w:r>
      <w:r w:rsidR="007F027A" w:rsidRPr="00005410">
        <w:rPr>
          <w:rFonts w:ascii="Times New Roman" w:hAnsi="Times New Roman" w:cs="Times New Roman"/>
          <w:sz w:val="24"/>
          <w:szCs w:val="24"/>
        </w:rPr>
        <w:t xml:space="preserve">tys. </w:t>
      </w:r>
      <w:r w:rsidR="00610A6A">
        <w:rPr>
          <w:rFonts w:ascii="Times New Roman" w:hAnsi="Times New Roman" w:cs="Times New Roman"/>
          <w:sz w:val="24"/>
          <w:szCs w:val="24"/>
        </w:rPr>
        <w:t>o</w:t>
      </w:r>
      <w:r w:rsidRPr="00005410">
        <w:rPr>
          <w:rFonts w:ascii="Times New Roman" w:hAnsi="Times New Roman" w:cs="Times New Roman"/>
          <w:sz w:val="24"/>
          <w:szCs w:val="24"/>
        </w:rPr>
        <w:t>sób (29,0%) pokonywało odległość do 5 kilometrów, 46</w:t>
      </w:r>
      <w:r w:rsidR="00DB6034" w:rsidRPr="00005410">
        <w:rPr>
          <w:rFonts w:ascii="Times New Roman" w:hAnsi="Times New Roman" w:cs="Times New Roman"/>
          <w:sz w:val="24"/>
          <w:szCs w:val="24"/>
        </w:rPr>
        <w:t>55</w:t>
      </w:r>
      <w:r w:rsidR="007F027A" w:rsidRPr="00005410">
        <w:rPr>
          <w:rFonts w:ascii="Times New Roman" w:hAnsi="Times New Roman" w:cs="Times New Roman"/>
          <w:sz w:val="24"/>
          <w:szCs w:val="24"/>
        </w:rPr>
        <w:t>,0</w:t>
      </w:r>
      <w:r w:rsidR="00D76932" w:rsidRPr="00005410">
        <w:rPr>
          <w:rFonts w:ascii="Times New Roman" w:hAnsi="Times New Roman" w:cs="Times New Roman"/>
          <w:sz w:val="24"/>
          <w:szCs w:val="24"/>
        </w:rPr>
        <w:t xml:space="preserve"> </w:t>
      </w:r>
      <w:r w:rsidR="007F027A" w:rsidRPr="00005410">
        <w:rPr>
          <w:rFonts w:ascii="Times New Roman" w:hAnsi="Times New Roman" w:cs="Times New Roman"/>
          <w:sz w:val="24"/>
          <w:szCs w:val="24"/>
        </w:rPr>
        <w:t xml:space="preserve">tys. </w:t>
      </w:r>
      <w:r w:rsidR="00D76932" w:rsidRPr="00005410">
        <w:rPr>
          <w:rFonts w:ascii="Times New Roman" w:hAnsi="Times New Roman" w:cs="Times New Roman"/>
          <w:sz w:val="24"/>
          <w:szCs w:val="24"/>
        </w:rPr>
        <w:t xml:space="preserve">(50,9%) – od 6 do 20 km, </w:t>
      </w:r>
      <w:r w:rsidR="007F027A" w:rsidRPr="00005410">
        <w:rPr>
          <w:rFonts w:ascii="Times New Roman" w:hAnsi="Times New Roman" w:cs="Times New Roman"/>
          <w:sz w:val="24"/>
          <w:szCs w:val="24"/>
        </w:rPr>
        <w:t xml:space="preserve">1410,0 tys. </w:t>
      </w:r>
      <w:r w:rsidRPr="00005410">
        <w:rPr>
          <w:rFonts w:ascii="Times New Roman" w:hAnsi="Times New Roman" w:cs="Times New Roman"/>
          <w:sz w:val="24"/>
          <w:szCs w:val="24"/>
        </w:rPr>
        <w:t>(15,</w:t>
      </w:r>
      <w:r w:rsidR="00DB6034" w:rsidRPr="00005410">
        <w:rPr>
          <w:rFonts w:ascii="Times New Roman" w:hAnsi="Times New Roman" w:cs="Times New Roman"/>
          <w:sz w:val="24"/>
          <w:szCs w:val="24"/>
        </w:rPr>
        <w:t>4%) – od 21 do 50 km, zaś 427</w:t>
      </w:r>
      <w:r w:rsidR="007F027A" w:rsidRPr="00005410">
        <w:rPr>
          <w:rFonts w:ascii="Times New Roman" w:hAnsi="Times New Roman" w:cs="Times New Roman"/>
          <w:sz w:val="24"/>
          <w:szCs w:val="24"/>
        </w:rPr>
        <w:t>,6</w:t>
      </w:r>
      <w:r w:rsidR="00DB6034" w:rsidRPr="00005410">
        <w:rPr>
          <w:rFonts w:ascii="Times New Roman" w:hAnsi="Times New Roman" w:cs="Times New Roman"/>
          <w:sz w:val="24"/>
          <w:szCs w:val="24"/>
        </w:rPr>
        <w:t xml:space="preserve"> </w:t>
      </w:r>
      <w:r w:rsidR="007F027A" w:rsidRPr="00005410">
        <w:rPr>
          <w:rFonts w:ascii="Times New Roman" w:hAnsi="Times New Roman" w:cs="Times New Roman"/>
          <w:sz w:val="24"/>
          <w:szCs w:val="24"/>
        </w:rPr>
        <w:t xml:space="preserve">tys. </w:t>
      </w:r>
      <w:r w:rsidR="00610A6A">
        <w:rPr>
          <w:rFonts w:ascii="Times New Roman" w:hAnsi="Times New Roman" w:cs="Times New Roman"/>
          <w:sz w:val="24"/>
          <w:szCs w:val="24"/>
        </w:rPr>
        <w:t>o</w:t>
      </w:r>
      <w:r w:rsidR="00DB6034" w:rsidRPr="00005410">
        <w:rPr>
          <w:rFonts w:ascii="Times New Roman" w:hAnsi="Times New Roman" w:cs="Times New Roman"/>
          <w:sz w:val="24"/>
          <w:szCs w:val="24"/>
        </w:rPr>
        <w:t>s</w:t>
      </w:r>
      <w:r w:rsidR="007F027A" w:rsidRPr="00005410">
        <w:rPr>
          <w:rFonts w:ascii="Times New Roman" w:hAnsi="Times New Roman" w:cs="Times New Roman"/>
          <w:sz w:val="24"/>
          <w:szCs w:val="24"/>
        </w:rPr>
        <w:t>ó</w:t>
      </w:r>
      <w:r w:rsidRPr="00005410">
        <w:rPr>
          <w:rFonts w:ascii="Times New Roman" w:hAnsi="Times New Roman" w:cs="Times New Roman"/>
          <w:sz w:val="24"/>
          <w:szCs w:val="24"/>
        </w:rPr>
        <w:t>b (4,7%) dojeżd</w:t>
      </w:r>
      <w:r w:rsidR="007F027A" w:rsidRPr="00005410">
        <w:rPr>
          <w:rFonts w:ascii="Times New Roman" w:hAnsi="Times New Roman" w:cs="Times New Roman"/>
          <w:sz w:val="24"/>
          <w:szCs w:val="24"/>
        </w:rPr>
        <w:t>żało</w:t>
      </w:r>
      <w:r w:rsidRPr="00005410">
        <w:rPr>
          <w:rFonts w:ascii="Times New Roman" w:hAnsi="Times New Roman" w:cs="Times New Roman"/>
          <w:sz w:val="24"/>
          <w:szCs w:val="24"/>
        </w:rPr>
        <w:t xml:space="preserve"> do pracy na odległość wynoszącą 51 i więcej kilometrów.</w:t>
      </w:r>
      <w:r w:rsidR="00431459" w:rsidRPr="00005410">
        <w:rPr>
          <w:rFonts w:ascii="Times New Roman" w:hAnsi="Times New Roman" w:cs="Times New Roman"/>
          <w:sz w:val="24"/>
          <w:szCs w:val="24"/>
        </w:rPr>
        <w:t xml:space="preserve"> </w:t>
      </w:r>
      <w:r w:rsidR="00A62C83" w:rsidRPr="00005410">
        <w:rPr>
          <w:rFonts w:ascii="Times New Roman" w:hAnsi="Times New Roman" w:cs="Times New Roman"/>
          <w:sz w:val="24"/>
          <w:szCs w:val="24"/>
        </w:rPr>
        <w:t xml:space="preserve">Dominują zatem </w:t>
      </w:r>
      <w:r w:rsidR="002A10CD" w:rsidRPr="00005410">
        <w:rPr>
          <w:rFonts w:ascii="Times New Roman" w:hAnsi="Times New Roman" w:cs="Times New Roman"/>
          <w:sz w:val="24"/>
          <w:szCs w:val="24"/>
        </w:rPr>
        <w:t xml:space="preserve">dojazdy </w:t>
      </w:r>
      <w:r w:rsidR="00311048" w:rsidRPr="00005410">
        <w:rPr>
          <w:rFonts w:ascii="Times New Roman" w:hAnsi="Times New Roman" w:cs="Times New Roman"/>
          <w:sz w:val="24"/>
          <w:szCs w:val="24"/>
        </w:rPr>
        <w:t>na niezbyt duże odległości</w:t>
      </w:r>
      <w:r w:rsidR="00A62C83" w:rsidRPr="00005410">
        <w:rPr>
          <w:rFonts w:ascii="Times New Roman" w:hAnsi="Times New Roman" w:cs="Times New Roman"/>
          <w:sz w:val="24"/>
          <w:szCs w:val="24"/>
        </w:rPr>
        <w:t xml:space="preserve"> (do 20 km)</w:t>
      </w:r>
      <w:r w:rsidR="00311048" w:rsidRPr="00005410">
        <w:rPr>
          <w:rFonts w:ascii="Times New Roman" w:hAnsi="Times New Roman" w:cs="Times New Roman"/>
          <w:sz w:val="24"/>
          <w:szCs w:val="24"/>
        </w:rPr>
        <w:t xml:space="preserve">. </w:t>
      </w:r>
      <w:r w:rsidR="00A62C83" w:rsidRPr="00005410">
        <w:rPr>
          <w:rFonts w:ascii="Times New Roman" w:hAnsi="Times New Roman" w:cs="Times New Roman"/>
          <w:sz w:val="24"/>
          <w:szCs w:val="24"/>
        </w:rPr>
        <w:t xml:space="preserve">Największa liczba takich osób </w:t>
      </w:r>
      <w:r w:rsidR="003E0C1D" w:rsidRPr="00005410">
        <w:rPr>
          <w:rFonts w:ascii="Times New Roman" w:hAnsi="Times New Roman" w:cs="Times New Roman"/>
          <w:sz w:val="24"/>
          <w:szCs w:val="24"/>
        </w:rPr>
        <w:t xml:space="preserve"> zamieszk</w:t>
      </w:r>
      <w:r w:rsidR="00A62C83" w:rsidRPr="00005410">
        <w:rPr>
          <w:rFonts w:ascii="Times New Roman" w:hAnsi="Times New Roman" w:cs="Times New Roman"/>
          <w:sz w:val="24"/>
          <w:szCs w:val="24"/>
        </w:rPr>
        <w:t>uje</w:t>
      </w:r>
      <w:r w:rsidR="003E0C1D" w:rsidRPr="00005410">
        <w:rPr>
          <w:rFonts w:ascii="Times New Roman" w:hAnsi="Times New Roman" w:cs="Times New Roman"/>
          <w:sz w:val="24"/>
          <w:szCs w:val="24"/>
        </w:rPr>
        <w:t xml:space="preserve"> w województwach</w:t>
      </w:r>
      <w:r w:rsidR="009E143E" w:rsidRPr="00005410">
        <w:rPr>
          <w:rFonts w:ascii="Times New Roman" w:hAnsi="Times New Roman" w:cs="Times New Roman"/>
          <w:sz w:val="24"/>
          <w:szCs w:val="24"/>
        </w:rPr>
        <w:t>:</w:t>
      </w:r>
      <w:r w:rsidR="003E0C1D" w:rsidRPr="00005410">
        <w:rPr>
          <w:rFonts w:ascii="Times New Roman" w:hAnsi="Times New Roman" w:cs="Times New Roman"/>
          <w:sz w:val="24"/>
          <w:szCs w:val="24"/>
        </w:rPr>
        <w:t xml:space="preserve"> m</w:t>
      </w:r>
      <w:r w:rsidR="00AA0CBB" w:rsidRPr="00005410">
        <w:rPr>
          <w:rFonts w:ascii="Times New Roman" w:hAnsi="Times New Roman" w:cs="Times New Roman"/>
          <w:sz w:val="24"/>
          <w:szCs w:val="24"/>
        </w:rPr>
        <w:t xml:space="preserve">azowieckim i śląskim. Dominacja </w:t>
      </w:r>
      <w:r w:rsidR="00574608" w:rsidRPr="00005410">
        <w:rPr>
          <w:rFonts w:ascii="Times New Roman" w:hAnsi="Times New Roman" w:cs="Times New Roman"/>
          <w:sz w:val="24"/>
          <w:szCs w:val="24"/>
        </w:rPr>
        <w:t xml:space="preserve">województwa mazowieckiego </w:t>
      </w:r>
      <w:r w:rsidR="00510666" w:rsidRPr="00005410">
        <w:rPr>
          <w:rFonts w:ascii="Times New Roman" w:hAnsi="Times New Roman" w:cs="Times New Roman"/>
          <w:sz w:val="24"/>
          <w:szCs w:val="24"/>
        </w:rPr>
        <w:t>okazuje się</w:t>
      </w:r>
      <w:r w:rsidR="009E143E" w:rsidRPr="00005410">
        <w:rPr>
          <w:rFonts w:ascii="Times New Roman" w:hAnsi="Times New Roman" w:cs="Times New Roman"/>
          <w:sz w:val="24"/>
          <w:szCs w:val="24"/>
        </w:rPr>
        <w:t xml:space="preserve"> </w:t>
      </w:r>
      <w:r w:rsidR="00AA0CBB" w:rsidRPr="00005410">
        <w:rPr>
          <w:rFonts w:ascii="Times New Roman" w:hAnsi="Times New Roman" w:cs="Times New Roman"/>
          <w:sz w:val="24"/>
          <w:szCs w:val="24"/>
        </w:rPr>
        <w:t>szczególnie wi</w:t>
      </w:r>
      <w:r w:rsidR="003E0C1D" w:rsidRPr="00005410">
        <w:rPr>
          <w:rFonts w:ascii="Times New Roman" w:hAnsi="Times New Roman" w:cs="Times New Roman"/>
          <w:sz w:val="24"/>
          <w:szCs w:val="24"/>
        </w:rPr>
        <w:t>d</w:t>
      </w:r>
      <w:r w:rsidR="00AA0CBB" w:rsidRPr="00005410">
        <w:rPr>
          <w:rFonts w:ascii="Times New Roman" w:hAnsi="Times New Roman" w:cs="Times New Roman"/>
          <w:sz w:val="24"/>
          <w:szCs w:val="24"/>
        </w:rPr>
        <w:t>ocz</w:t>
      </w:r>
      <w:r w:rsidR="003E0C1D" w:rsidRPr="00005410">
        <w:rPr>
          <w:rFonts w:ascii="Times New Roman" w:hAnsi="Times New Roman" w:cs="Times New Roman"/>
          <w:sz w:val="24"/>
          <w:szCs w:val="24"/>
        </w:rPr>
        <w:t>n</w:t>
      </w:r>
      <w:r w:rsidR="00AA0CBB" w:rsidRPr="00005410">
        <w:rPr>
          <w:rFonts w:ascii="Times New Roman" w:hAnsi="Times New Roman" w:cs="Times New Roman"/>
          <w:sz w:val="24"/>
          <w:szCs w:val="24"/>
        </w:rPr>
        <w:t>a</w:t>
      </w:r>
      <w:r w:rsidR="003E0C1D" w:rsidRPr="00005410">
        <w:rPr>
          <w:rFonts w:ascii="Times New Roman" w:hAnsi="Times New Roman" w:cs="Times New Roman"/>
          <w:sz w:val="24"/>
          <w:szCs w:val="24"/>
        </w:rPr>
        <w:t xml:space="preserve"> w przypadku</w:t>
      </w:r>
      <w:r w:rsidR="001E1193" w:rsidRPr="00005410">
        <w:rPr>
          <w:rFonts w:ascii="Times New Roman" w:hAnsi="Times New Roman" w:cs="Times New Roman"/>
          <w:sz w:val="24"/>
          <w:szCs w:val="24"/>
        </w:rPr>
        <w:t xml:space="preserve"> </w:t>
      </w:r>
      <w:r w:rsidR="003E0C1D" w:rsidRPr="00005410">
        <w:rPr>
          <w:rFonts w:ascii="Times New Roman" w:hAnsi="Times New Roman" w:cs="Times New Roman"/>
          <w:sz w:val="24"/>
          <w:szCs w:val="24"/>
        </w:rPr>
        <w:t>kat</w:t>
      </w:r>
      <w:r w:rsidR="00883756">
        <w:rPr>
          <w:rFonts w:ascii="Times New Roman" w:hAnsi="Times New Roman" w:cs="Times New Roman"/>
          <w:sz w:val="24"/>
          <w:szCs w:val="24"/>
        </w:rPr>
        <w:t>egorii 51 i </w:t>
      </w:r>
      <w:r w:rsidR="001E1193" w:rsidRPr="00005410">
        <w:rPr>
          <w:rFonts w:ascii="Times New Roman" w:hAnsi="Times New Roman" w:cs="Times New Roman"/>
          <w:sz w:val="24"/>
          <w:szCs w:val="24"/>
        </w:rPr>
        <w:t>więcej km</w:t>
      </w:r>
      <w:r w:rsidR="00FE5EC7" w:rsidRPr="00005410">
        <w:rPr>
          <w:rFonts w:ascii="Times New Roman" w:hAnsi="Times New Roman" w:cs="Times New Roman"/>
          <w:sz w:val="24"/>
          <w:szCs w:val="24"/>
        </w:rPr>
        <w:t>: tutaj</w:t>
      </w:r>
      <w:r w:rsidR="009E143E" w:rsidRPr="00005410">
        <w:rPr>
          <w:rFonts w:ascii="Times New Roman" w:hAnsi="Times New Roman" w:cs="Times New Roman"/>
          <w:sz w:val="24"/>
          <w:szCs w:val="24"/>
        </w:rPr>
        <w:t xml:space="preserve"> udział </w:t>
      </w:r>
      <w:r w:rsidR="003E0C1D" w:rsidRPr="00005410">
        <w:rPr>
          <w:rFonts w:ascii="Times New Roman" w:hAnsi="Times New Roman" w:cs="Times New Roman"/>
          <w:sz w:val="24"/>
          <w:szCs w:val="24"/>
        </w:rPr>
        <w:t>dojeżdżają</w:t>
      </w:r>
      <w:r w:rsidR="001E1193" w:rsidRPr="00005410">
        <w:rPr>
          <w:rFonts w:ascii="Times New Roman" w:hAnsi="Times New Roman" w:cs="Times New Roman"/>
          <w:sz w:val="24"/>
          <w:szCs w:val="24"/>
        </w:rPr>
        <w:t xml:space="preserve">cych do pracy mieszkańców wyniósł 22,7%, podczas gdy </w:t>
      </w:r>
      <w:r w:rsidR="001E1193" w:rsidRPr="00005410">
        <w:rPr>
          <w:rFonts w:ascii="Times New Roman" w:hAnsi="Times New Roman" w:cs="Times New Roman"/>
          <w:sz w:val="24"/>
          <w:szCs w:val="24"/>
        </w:rPr>
        <w:lastRenderedPageBreak/>
        <w:t xml:space="preserve">drugiego </w:t>
      </w:r>
      <w:r w:rsidR="00AA0CBB" w:rsidRPr="00005410">
        <w:rPr>
          <w:rFonts w:ascii="Times New Roman" w:hAnsi="Times New Roman" w:cs="Times New Roman"/>
          <w:sz w:val="24"/>
          <w:szCs w:val="24"/>
        </w:rPr>
        <w:t>pod ty</w:t>
      </w:r>
      <w:r w:rsidR="009E143E" w:rsidRPr="00005410">
        <w:rPr>
          <w:rFonts w:ascii="Times New Roman" w:hAnsi="Times New Roman" w:cs="Times New Roman"/>
          <w:sz w:val="24"/>
          <w:szCs w:val="24"/>
        </w:rPr>
        <w:t xml:space="preserve">m </w:t>
      </w:r>
      <w:r w:rsidR="001E1193" w:rsidRPr="00005410">
        <w:rPr>
          <w:rFonts w:ascii="Times New Roman" w:hAnsi="Times New Roman" w:cs="Times New Roman"/>
          <w:sz w:val="24"/>
          <w:szCs w:val="24"/>
        </w:rPr>
        <w:t>wzglę</w:t>
      </w:r>
      <w:r w:rsidR="00AA0CBB" w:rsidRPr="00005410">
        <w:rPr>
          <w:rFonts w:ascii="Times New Roman" w:hAnsi="Times New Roman" w:cs="Times New Roman"/>
          <w:sz w:val="24"/>
          <w:szCs w:val="24"/>
        </w:rPr>
        <w:t>d</w:t>
      </w:r>
      <w:r w:rsidR="001E1193" w:rsidRPr="00005410">
        <w:rPr>
          <w:rFonts w:ascii="Times New Roman" w:hAnsi="Times New Roman" w:cs="Times New Roman"/>
          <w:sz w:val="24"/>
          <w:szCs w:val="24"/>
        </w:rPr>
        <w:t>em wojewó</w:t>
      </w:r>
      <w:r w:rsidR="00AA0CBB" w:rsidRPr="00005410">
        <w:rPr>
          <w:rFonts w:ascii="Times New Roman" w:hAnsi="Times New Roman" w:cs="Times New Roman"/>
          <w:sz w:val="24"/>
          <w:szCs w:val="24"/>
        </w:rPr>
        <w:t>dztwa</w:t>
      </w:r>
      <w:r w:rsidR="009E143E" w:rsidRPr="00005410">
        <w:rPr>
          <w:rFonts w:ascii="Times New Roman" w:hAnsi="Times New Roman" w:cs="Times New Roman"/>
          <w:sz w:val="24"/>
          <w:szCs w:val="24"/>
        </w:rPr>
        <w:t xml:space="preserve"> wielkopolskiego – 9,</w:t>
      </w:r>
      <w:r w:rsidR="00AA0CBB" w:rsidRPr="00005410">
        <w:rPr>
          <w:rFonts w:ascii="Times New Roman" w:hAnsi="Times New Roman" w:cs="Times New Roman"/>
          <w:sz w:val="24"/>
          <w:szCs w:val="24"/>
        </w:rPr>
        <w:t xml:space="preserve">8%. </w:t>
      </w:r>
      <w:r w:rsidR="00717FAC" w:rsidRPr="00005410">
        <w:rPr>
          <w:rFonts w:ascii="Times New Roman" w:hAnsi="Times New Roman" w:cs="Times New Roman"/>
          <w:sz w:val="24"/>
          <w:szCs w:val="24"/>
        </w:rPr>
        <w:t>I to jest jedyna kat</w:t>
      </w:r>
      <w:r w:rsidR="001E1193" w:rsidRPr="00005410">
        <w:rPr>
          <w:rFonts w:ascii="Times New Roman" w:hAnsi="Times New Roman" w:cs="Times New Roman"/>
          <w:sz w:val="24"/>
          <w:szCs w:val="24"/>
        </w:rPr>
        <w:t xml:space="preserve">egoria, w której </w:t>
      </w:r>
      <w:r w:rsidR="00574608" w:rsidRPr="00005410">
        <w:rPr>
          <w:rFonts w:ascii="Times New Roman" w:hAnsi="Times New Roman" w:cs="Times New Roman"/>
          <w:sz w:val="24"/>
          <w:szCs w:val="24"/>
        </w:rPr>
        <w:t>województwo ś</w:t>
      </w:r>
      <w:r w:rsidR="001E1193" w:rsidRPr="00005410">
        <w:rPr>
          <w:rFonts w:ascii="Times New Roman" w:hAnsi="Times New Roman" w:cs="Times New Roman"/>
          <w:sz w:val="24"/>
          <w:szCs w:val="24"/>
        </w:rPr>
        <w:t>lą</w:t>
      </w:r>
      <w:r w:rsidR="00717FAC" w:rsidRPr="00005410">
        <w:rPr>
          <w:rFonts w:ascii="Times New Roman" w:hAnsi="Times New Roman" w:cs="Times New Roman"/>
          <w:sz w:val="24"/>
          <w:szCs w:val="24"/>
        </w:rPr>
        <w:t>sk</w:t>
      </w:r>
      <w:r w:rsidR="00574608" w:rsidRPr="00005410">
        <w:rPr>
          <w:rFonts w:ascii="Times New Roman" w:hAnsi="Times New Roman" w:cs="Times New Roman"/>
          <w:sz w:val="24"/>
          <w:szCs w:val="24"/>
        </w:rPr>
        <w:t>ie</w:t>
      </w:r>
      <w:r w:rsidR="00717FAC" w:rsidRPr="00005410">
        <w:rPr>
          <w:rFonts w:ascii="Times New Roman" w:hAnsi="Times New Roman" w:cs="Times New Roman"/>
          <w:sz w:val="24"/>
          <w:szCs w:val="24"/>
        </w:rPr>
        <w:t xml:space="preserve"> plasuje się na</w:t>
      </w:r>
      <w:r w:rsidR="00CD3F80" w:rsidRPr="00005410">
        <w:rPr>
          <w:rFonts w:ascii="Times New Roman" w:hAnsi="Times New Roman" w:cs="Times New Roman"/>
          <w:sz w:val="24"/>
          <w:szCs w:val="24"/>
        </w:rPr>
        <w:t xml:space="preserve"> cz</w:t>
      </w:r>
      <w:r w:rsidR="001E1193" w:rsidRPr="00005410">
        <w:rPr>
          <w:rFonts w:ascii="Times New Roman" w:hAnsi="Times New Roman" w:cs="Times New Roman"/>
          <w:sz w:val="24"/>
          <w:szCs w:val="24"/>
        </w:rPr>
        <w:t>w</w:t>
      </w:r>
      <w:r w:rsidR="00CD3F80" w:rsidRPr="00005410">
        <w:rPr>
          <w:rFonts w:ascii="Times New Roman" w:hAnsi="Times New Roman" w:cs="Times New Roman"/>
          <w:sz w:val="24"/>
          <w:szCs w:val="24"/>
        </w:rPr>
        <w:t>artej pozycji</w:t>
      </w:r>
      <w:r w:rsidR="001E1193" w:rsidRPr="00005410">
        <w:rPr>
          <w:rFonts w:ascii="Times New Roman" w:hAnsi="Times New Roman" w:cs="Times New Roman"/>
          <w:sz w:val="24"/>
          <w:szCs w:val="24"/>
        </w:rPr>
        <w:t xml:space="preserve"> </w:t>
      </w:r>
      <w:r w:rsidR="00510666" w:rsidRPr="00005410">
        <w:rPr>
          <w:rFonts w:ascii="Times New Roman" w:hAnsi="Times New Roman" w:cs="Times New Roman"/>
          <w:sz w:val="24"/>
          <w:szCs w:val="24"/>
        </w:rPr>
        <w:t xml:space="preserve">– </w:t>
      </w:r>
      <w:r w:rsidR="001E1193" w:rsidRPr="00005410">
        <w:rPr>
          <w:rFonts w:ascii="Times New Roman" w:hAnsi="Times New Roman" w:cs="Times New Roman"/>
          <w:sz w:val="24"/>
          <w:szCs w:val="24"/>
        </w:rPr>
        <w:t xml:space="preserve">wyprzedza </w:t>
      </w:r>
      <w:r w:rsidR="00574608" w:rsidRPr="00005410">
        <w:rPr>
          <w:rFonts w:ascii="Times New Roman" w:hAnsi="Times New Roman" w:cs="Times New Roman"/>
          <w:sz w:val="24"/>
          <w:szCs w:val="24"/>
        </w:rPr>
        <w:t>je</w:t>
      </w:r>
      <w:r w:rsidR="00CD3F80" w:rsidRPr="00005410">
        <w:rPr>
          <w:rFonts w:ascii="Times New Roman" w:hAnsi="Times New Roman" w:cs="Times New Roman"/>
          <w:sz w:val="24"/>
          <w:szCs w:val="24"/>
        </w:rPr>
        <w:t xml:space="preserve"> jeszcze </w:t>
      </w:r>
      <w:r w:rsidR="00574608" w:rsidRPr="00005410">
        <w:rPr>
          <w:rFonts w:ascii="Times New Roman" w:hAnsi="Times New Roman" w:cs="Times New Roman"/>
          <w:sz w:val="24"/>
          <w:szCs w:val="24"/>
        </w:rPr>
        <w:t xml:space="preserve">województwo dolnośląskie </w:t>
      </w:r>
      <w:r w:rsidR="00CD3F80" w:rsidRPr="00005410">
        <w:rPr>
          <w:rFonts w:ascii="Times New Roman" w:hAnsi="Times New Roman" w:cs="Times New Roman"/>
          <w:sz w:val="24"/>
          <w:szCs w:val="24"/>
        </w:rPr>
        <w:t xml:space="preserve"> – 8,3%). </w:t>
      </w:r>
      <w:r w:rsidR="001E1193" w:rsidRPr="00005410">
        <w:rPr>
          <w:rFonts w:ascii="Times New Roman" w:hAnsi="Times New Roman" w:cs="Times New Roman"/>
          <w:sz w:val="24"/>
          <w:szCs w:val="24"/>
        </w:rPr>
        <w:t>W pozostał</w:t>
      </w:r>
      <w:r w:rsidR="00717FAC" w:rsidRPr="00005410">
        <w:rPr>
          <w:rFonts w:ascii="Times New Roman" w:hAnsi="Times New Roman" w:cs="Times New Roman"/>
          <w:sz w:val="24"/>
          <w:szCs w:val="24"/>
        </w:rPr>
        <w:t xml:space="preserve">ych kategoriach </w:t>
      </w:r>
      <w:r w:rsidR="00CD3F80" w:rsidRPr="00005410">
        <w:rPr>
          <w:rFonts w:ascii="Times New Roman" w:hAnsi="Times New Roman" w:cs="Times New Roman"/>
          <w:sz w:val="24"/>
          <w:szCs w:val="24"/>
        </w:rPr>
        <w:t xml:space="preserve">jest </w:t>
      </w:r>
      <w:r w:rsidR="00F76CEE" w:rsidRPr="00005410">
        <w:rPr>
          <w:rFonts w:ascii="Times New Roman" w:hAnsi="Times New Roman" w:cs="Times New Roman"/>
          <w:sz w:val="24"/>
          <w:szCs w:val="24"/>
        </w:rPr>
        <w:t>on</w:t>
      </w:r>
      <w:r w:rsidR="00574608" w:rsidRPr="00005410">
        <w:rPr>
          <w:rFonts w:ascii="Times New Roman" w:hAnsi="Times New Roman" w:cs="Times New Roman"/>
          <w:sz w:val="24"/>
          <w:szCs w:val="24"/>
        </w:rPr>
        <w:t>o</w:t>
      </w:r>
      <w:r w:rsidR="00F76CEE" w:rsidRPr="00005410">
        <w:rPr>
          <w:rFonts w:ascii="Times New Roman" w:hAnsi="Times New Roman" w:cs="Times New Roman"/>
          <w:sz w:val="24"/>
          <w:szCs w:val="24"/>
        </w:rPr>
        <w:t xml:space="preserve"> </w:t>
      </w:r>
      <w:r w:rsidR="00574608" w:rsidRPr="00005410">
        <w:rPr>
          <w:rFonts w:ascii="Times New Roman" w:hAnsi="Times New Roman" w:cs="Times New Roman"/>
          <w:sz w:val="24"/>
          <w:szCs w:val="24"/>
        </w:rPr>
        <w:t>pierwsze</w:t>
      </w:r>
      <w:r w:rsidR="00CD3F80" w:rsidRPr="00005410">
        <w:rPr>
          <w:rFonts w:ascii="Times New Roman" w:hAnsi="Times New Roman" w:cs="Times New Roman"/>
          <w:sz w:val="24"/>
          <w:szCs w:val="24"/>
        </w:rPr>
        <w:t xml:space="preserve"> (o</w:t>
      </w:r>
      <w:r w:rsidR="001E1193" w:rsidRPr="00005410">
        <w:rPr>
          <w:rFonts w:ascii="Times New Roman" w:hAnsi="Times New Roman" w:cs="Times New Roman"/>
          <w:sz w:val="24"/>
          <w:szCs w:val="24"/>
        </w:rPr>
        <w:t>dległość</w:t>
      </w:r>
      <w:r w:rsidR="00CD3F80" w:rsidRPr="00005410">
        <w:rPr>
          <w:rFonts w:ascii="Times New Roman" w:hAnsi="Times New Roman" w:cs="Times New Roman"/>
          <w:sz w:val="24"/>
          <w:szCs w:val="24"/>
        </w:rPr>
        <w:t xml:space="preserve"> </w:t>
      </w:r>
      <w:r w:rsidR="00E727BD" w:rsidRPr="00005410">
        <w:rPr>
          <w:rFonts w:ascii="Times New Roman" w:hAnsi="Times New Roman" w:cs="Times New Roman"/>
          <w:sz w:val="24"/>
          <w:szCs w:val="24"/>
        </w:rPr>
        <w:t>do</w:t>
      </w:r>
      <w:r w:rsidR="00CD3F80" w:rsidRPr="00005410">
        <w:rPr>
          <w:rFonts w:ascii="Times New Roman" w:hAnsi="Times New Roman" w:cs="Times New Roman"/>
          <w:sz w:val="24"/>
          <w:szCs w:val="24"/>
        </w:rPr>
        <w:t xml:space="preserve"> 5 km –</w:t>
      </w:r>
      <w:r w:rsidR="00574608" w:rsidRPr="00005410">
        <w:rPr>
          <w:rFonts w:ascii="Times New Roman" w:hAnsi="Times New Roman" w:cs="Times New Roman"/>
          <w:sz w:val="24"/>
          <w:szCs w:val="24"/>
        </w:rPr>
        <w:t xml:space="preserve"> 13,3%, województwo m</w:t>
      </w:r>
      <w:r w:rsidR="001E1193" w:rsidRPr="00005410">
        <w:rPr>
          <w:rFonts w:ascii="Times New Roman" w:hAnsi="Times New Roman" w:cs="Times New Roman"/>
          <w:sz w:val="24"/>
          <w:szCs w:val="24"/>
        </w:rPr>
        <w:t>azo</w:t>
      </w:r>
      <w:r w:rsidR="00CD3F80" w:rsidRPr="00005410">
        <w:rPr>
          <w:rFonts w:ascii="Times New Roman" w:hAnsi="Times New Roman" w:cs="Times New Roman"/>
          <w:sz w:val="24"/>
          <w:szCs w:val="24"/>
        </w:rPr>
        <w:t>w</w:t>
      </w:r>
      <w:r w:rsidR="001E1193" w:rsidRPr="00005410">
        <w:rPr>
          <w:rFonts w:ascii="Times New Roman" w:hAnsi="Times New Roman" w:cs="Times New Roman"/>
          <w:sz w:val="24"/>
          <w:szCs w:val="24"/>
        </w:rPr>
        <w:t>ieckie – 12,6%) lub drugi</w:t>
      </w:r>
      <w:r w:rsidR="00574608" w:rsidRPr="00005410">
        <w:rPr>
          <w:rFonts w:ascii="Times New Roman" w:hAnsi="Times New Roman" w:cs="Times New Roman"/>
          <w:sz w:val="24"/>
          <w:szCs w:val="24"/>
        </w:rPr>
        <w:t>e</w:t>
      </w:r>
      <w:r w:rsidR="001E1193" w:rsidRPr="00005410">
        <w:rPr>
          <w:rFonts w:ascii="Times New Roman" w:hAnsi="Times New Roman" w:cs="Times New Roman"/>
          <w:sz w:val="24"/>
          <w:szCs w:val="24"/>
        </w:rPr>
        <w:t xml:space="preserve"> za </w:t>
      </w:r>
      <w:r w:rsidR="00574608" w:rsidRPr="00005410">
        <w:rPr>
          <w:rFonts w:ascii="Times New Roman" w:hAnsi="Times New Roman" w:cs="Times New Roman"/>
          <w:sz w:val="24"/>
          <w:szCs w:val="24"/>
        </w:rPr>
        <w:t xml:space="preserve">województwem </w:t>
      </w:r>
      <w:r w:rsidR="00940D48">
        <w:rPr>
          <w:rFonts w:ascii="Times New Roman" w:hAnsi="Times New Roman" w:cs="Times New Roman"/>
          <w:sz w:val="24"/>
          <w:szCs w:val="24"/>
        </w:rPr>
        <w:t>m</w:t>
      </w:r>
      <w:r w:rsidR="00DE1EC4">
        <w:rPr>
          <w:rFonts w:ascii="Times New Roman" w:hAnsi="Times New Roman" w:cs="Times New Roman"/>
          <w:sz w:val="24"/>
          <w:szCs w:val="24"/>
        </w:rPr>
        <w:t>azo</w:t>
      </w:r>
      <w:r w:rsidR="00574608" w:rsidRPr="00005410">
        <w:rPr>
          <w:rFonts w:ascii="Times New Roman" w:hAnsi="Times New Roman" w:cs="Times New Roman"/>
          <w:sz w:val="24"/>
          <w:szCs w:val="24"/>
        </w:rPr>
        <w:t>wieckim</w:t>
      </w:r>
      <w:r w:rsidR="001E1193" w:rsidRPr="00005410">
        <w:rPr>
          <w:rFonts w:ascii="Times New Roman" w:hAnsi="Times New Roman" w:cs="Times New Roman"/>
          <w:sz w:val="24"/>
          <w:szCs w:val="24"/>
        </w:rPr>
        <w:t xml:space="preserve"> (6 – 20 km – 15,2%, 21</w:t>
      </w:r>
      <w:r w:rsidR="009E143E" w:rsidRPr="00005410">
        <w:rPr>
          <w:rFonts w:ascii="Times New Roman" w:hAnsi="Times New Roman" w:cs="Times New Roman"/>
          <w:sz w:val="24"/>
          <w:szCs w:val="24"/>
        </w:rPr>
        <w:t>–</w:t>
      </w:r>
      <w:r w:rsidR="001E1193" w:rsidRPr="00005410">
        <w:rPr>
          <w:rFonts w:ascii="Times New Roman" w:hAnsi="Times New Roman" w:cs="Times New Roman"/>
          <w:sz w:val="24"/>
          <w:szCs w:val="24"/>
        </w:rPr>
        <w:t xml:space="preserve"> 50</w:t>
      </w:r>
      <w:r w:rsidR="009E143E" w:rsidRPr="00005410">
        <w:rPr>
          <w:rFonts w:ascii="Times New Roman" w:hAnsi="Times New Roman" w:cs="Times New Roman"/>
          <w:sz w:val="24"/>
          <w:szCs w:val="24"/>
        </w:rPr>
        <w:t xml:space="preserve"> km</w:t>
      </w:r>
      <w:r w:rsidR="001E1193" w:rsidRPr="00005410">
        <w:rPr>
          <w:rFonts w:ascii="Times New Roman" w:hAnsi="Times New Roman" w:cs="Times New Roman"/>
          <w:sz w:val="24"/>
          <w:szCs w:val="24"/>
        </w:rPr>
        <w:t xml:space="preserve"> –</w:t>
      </w:r>
      <w:r w:rsidR="00CD3F80" w:rsidRPr="00005410">
        <w:rPr>
          <w:rFonts w:ascii="Times New Roman" w:hAnsi="Times New Roman" w:cs="Times New Roman"/>
          <w:sz w:val="24"/>
          <w:szCs w:val="24"/>
        </w:rPr>
        <w:t xml:space="preserve"> 12,3%, podcza</w:t>
      </w:r>
      <w:r w:rsidR="001E1193" w:rsidRPr="00005410">
        <w:rPr>
          <w:rFonts w:ascii="Times New Roman" w:hAnsi="Times New Roman" w:cs="Times New Roman"/>
          <w:sz w:val="24"/>
          <w:szCs w:val="24"/>
        </w:rPr>
        <w:t>s gdy dl</w:t>
      </w:r>
      <w:r w:rsidR="00CD3F80" w:rsidRPr="00005410">
        <w:rPr>
          <w:rFonts w:ascii="Times New Roman" w:hAnsi="Times New Roman" w:cs="Times New Roman"/>
          <w:sz w:val="24"/>
          <w:szCs w:val="24"/>
        </w:rPr>
        <w:t xml:space="preserve">a </w:t>
      </w:r>
      <w:r w:rsidR="00574608" w:rsidRPr="00005410">
        <w:rPr>
          <w:rFonts w:ascii="Times New Roman" w:hAnsi="Times New Roman" w:cs="Times New Roman"/>
          <w:sz w:val="24"/>
          <w:szCs w:val="24"/>
        </w:rPr>
        <w:t>województwa mazowieckiego</w:t>
      </w:r>
      <w:r w:rsidR="00CD3F80" w:rsidRPr="00005410">
        <w:rPr>
          <w:rFonts w:ascii="Times New Roman" w:hAnsi="Times New Roman" w:cs="Times New Roman"/>
          <w:sz w:val="24"/>
          <w:szCs w:val="24"/>
        </w:rPr>
        <w:t xml:space="preserve"> </w:t>
      </w:r>
      <w:r w:rsidR="00D50BD3" w:rsidRPr="00005410">
        <w:rPr>
          <w:rFonts w:ascii="Times New Roman" w:hAnsi="Times New Roman" w:cs="Times New Roman"/>
          <w:sz w:val="24"/>
          <w:szCs w:val="24"/>
        </w:rPr>
        <w:t>udziały</w:t>
      </w:r>
      <w:r w:rsidR="001E1193" w:rsidRPr="00005410">
        <w:rPr>
          <w:rFonts w:ascii="Times New Roman" w:hAnsi="Times New Roman" w:cs="Times New Roman"/>
          <w:sz w:val="24"/>
          <w:szCs w:val="24"/>
        </w:rPr>
        <w:t xml:space="preserve"> te wynoszą</w:t>
      </w:r>
      <w:r w:rsidR="00CD3F80" w:rsidRPr="00005410">
        <w:rPr>
          <w:rFonts w:ascii="Times New Roman" w:hAnsi="Times New Roman" w:cs="Times New Roman"/>
          <w:sz w:val="24"/>
          <w:szCs w:val="24"/>
        </w:rPr>
        <w:t xml:space="preserve"> </w:t>
      </w:r>
      <w:r w:rsidR="00610A6A" w:rsidRPr="00005410">
        <w:rPr>
          <w:rFonts w:ascii="Times New Roman" w:hAnsi="Times New Roman" w:cs="Times New Roman"/>
          <w:sz w:val="24"/>
          <w:szCs w:val="24"/>
        </w:rPr>
        <w:t xml:space="preserve">odpowiednio </w:t>
      </w:r>
      <w:r w:rsidR="00CD3F80" w:rsidRPr="00005410">
        <w:rPr>
          <w:rFonts w:ascii="Times New Roman" w:hAnsi="Times New Roman" w:cs="Times New Roman"/>
          <w:sz w:val="24"/>
          <w:szCs w:val="24"/>
        </w:rPr>
        <w:t>16,9% oraz 19,0%</w:t>
      </w:r>
      <w:r w:rsidR="001E1193" w:rsidRPr="00005410">
        <w:rPr>
          <w:rFonts w:ascii="Times New Roman" w:hAnsi="Times New Roman" w:cs="Times New Roman"/>
          <w:sz w:val="24"/>
          <w:szCs w:val="24"/>
        </w:rPr>
        <w:t>).</w:t>
      </w:r>
    </w:p>
    <w:p w:rsidR="00CD3F80" w:rsidRPr="00005410" w:rsidRDefault="009E143E" w:rsidP="00005410">
      <w:pPr>
        <w:pStyle w:val="tekstgl"/>
        <w:spacing w:after="0" w:line="360" w:lineRule="auto"/>
        <w:ind w:firstLine="709"/>
        <w:rPr>
          <w:rFonts w:ascii="Times New Roman" w:hAnsi="Times New Roman" w:cs="Times New Roman"/>
          <w:sz w:val="24"/>
          <w:szCs w:val="24"/>
        </w:rPr>
      </w:pPr>
      <w:r w:rsidRPr="00005410">
        <w:rPr>
          <w:rFonts w:ascii="Times New Roman" w:hAnsi="Times New Roman" w:cs="Times New Roman"/>
          <w:sz w:val="24"/>
          <w:szCs w:val="24"/>
        </w:rPr>
        <w:t>J</w:t>
      </w:r>
      <w:r w:rsidR="00CD3F80" w:rsidRPr="00005410">
        <w:rPr>
          <w:rFonts w:ascii="Times New Roman" w:hAnsi="Times New Roman" w:cs="Times New Roman"/>
          <w:sz w:val="24"/>
          <w:szCs w:val="24"/>
        </w:rPr>
        <w:t xml:space="preserve">ednakże </w:t>
      </w:r>
      <w:r w:rsidR="007F707C" w:rsidRPr="00005410">
        <w:rPr>
          <w:rFonts w:ascii="Times New Roman" w:hAnsi="Times New Roman" w:cs="Times New Roman"/>
          <w:sz w:val="24"/>
          <w:szCs w:val="24"/>
        </w:rPr>
        <w:t xml:space="preserve">przyglądając się </w:t>
      </w:r>
      <w:r w:rsidR="001E1193" w:rsidRPr="00005410">
        <w:rPr>
          <w:rFonts w:ascii="Times New Roman" w:hAnsi="Times New Roman" w:cs="Times New Roman"/>
          <w:sz w:val="24"/>
          <w:szCs w:val="24"/>
        </w:rPr>
        <w:t>bliżej wewnęt</w:t>
      </w:r>
      <w:r w:rsidR="00CD3F80" w:rsidRPr="00005410">
        <w:rPr>
          <w:rFonts w:ascii="Times New Roman" w:hAnsi="Times New Roman" w:cs="Times New Roman"/>
          <w:sz w:val="24"/>
          <w:szCs w:val="24"/>
        </w:rPr>
        <w:t>rznym strukturom każde</w:t>
      </w:r>
      <w:r w:rsidR="001E1193" w:rsidRPr="00005410">
        <w:rPr>
          <w:rFonts w:ascii="Times New Roman" w:hAnsi="Times New Roman" w:cs="Times New Roman"/>
          <w:sz w:val="24"/>
          <w:szCs w:val="24"/>
        </w:rPr>
        <w:t>go z wojewó</w:t>
      </w:r>
      <w:r w:rsidR="00CD3F80" w:rsidRPr="00005410">
        <w:rPr>
          <w:rFonts w:ascii="Times New Roman" w:hAnsi="Times New Roman" w:cs="Times New Roman"/>
          <w:sz w:val="24"/>
          <w:szCs w:val="24"/>
        </w:rPr>
        <w:t>d</w:t>
      </w:r>
      <w:r w:rsidR="001E1193" w:rsidRPr="00005410">
        <w:rPr>
          <w:rFonts w:ascii="Times New Roman" w:hAnsi="Times New Roman" w:cs="Times New Roman"/>
          <w:sz w:val="24"/>
          <w:szCs w:val="24"/>
        </w:rPr>
        <w:t>z</w:t>
      </w:r>
      <w:r w:rsidR="00CD3F80" w:rsidRPr="00005410">
        <w:rPr>
          <w:rFonts w:ascii="Times New Roman" w:hAnsi="Times New Roman" w:cs="Times New Roman"/>
          <w:sz w:val="24"/>
          <w:szCs w:val="24"/>
        </w:rPr>
        <w:t xml:space="preserve">tw </w:t>
      </w:r>
      <w:r w:rsidR="007F707C" w:rsidRPr="00005410">
        <w:rPr>
          <w:rFonts w:ascii="Times New Roman" w:hAnsi="Times New Roman" w:cs="Times New Roman"/>
          <w:sz w:val="24"/>
          <w:szCs w:val="24"/>
        </w:rPr>
        <w:t>da</w:t>
      </w:r>
      <w:r w:rsidR="00610A6A">
        <w:rPr>
          <w:rFonts w:ascii="Times New Roman" w:hAnsi="Times New Roman" w:cs="Times New Roman"/>
          <w:sz w:val="24"/>
          <w:szCs w:val="24"/>
        </w:rPr>
        <w:t>je</w:t>
      </w:r>
      <w:r w:rsidR="007F707C" w:rsidRPr="00005410">
        <w:rPr>
          <w:rFonts w:ascii="Times New Roman" w:hAnsi="Times New Roman" w:cs="Times New Roman"/>
          <w:sz w:val="24"/>
          <w:szCs w:val="24"/>
        </w:rPr>
        <w:t xml:space="preserve"> się </w:t>
      </w:r>
      <w:r w:rsidR="00CD3F80" w:rsidRPr="00005410">
        <w:rPr>
          <w:rFonts w:ascii="Times New Roman" w:hAnsi="Times New Roman" w:cs="Times New Roman"/>
          <w:sz w:val="24"/>
          <w:szCs w:val="24"/>
        </w:rPr>
        <w:t>z</w:t>
      </w:r>
      <w:r w:rsidR="001E1193" w:rsidRPr="00005410">
        <w:rPr>
          <w:rFonts w:ascii="Times New Roman" w:hAnsi="Times New Roman" w:cs="Times New Roman"/>
          <w:sz w:val="24"/>
          <w:szCs w:val="24"/>
        </w:rPr>
        <w:t>a</w:t>
      </w:r>
      <w:r w:rsidR="00CD3F80" w:rsidRPr="00005410">
        <w:rPr>
          <w:rFonts w:ascii="Times New Roman" w:hAnsi="Times New Roman" w:cs="Times New Roman"/>
          <w:sz w:val="24"/>
          <w:szCs w:val="24"/>
        </w:rPr>
        <w:t>uwa</w:t>
      </w:r>
      <w:r w:rsidR="001E1193" w:rsidRPr="00005410">
        <w:rPr>
          <w:rFonts w:ascii="Times New Roman" w:hAnsi="Times New Roman" w:cs="Times New Roman"/>
          <w:sz w:val="24"/>
          <w:szCs w:val="24"/>
        </w:rPr>
        <w:t>ży</w:t>
      </w:r>
      <w:r w:rsidR="007F707C" w:rsidRPr="00005410">
        <w:rPr>
          <w:rFonts w:ascii="Times New Roman" w:hAnsi="Times New Roman" w:cs="Times New Roman"/>
          <w:sz w:val="24"/>
          <w:szCs w:val="24"/>
        </w:rPr>
        <w:t>ć</w:t>
      </w:r>
      <w:r w:rsidR="001E1193" w:rsidRPr="00005410">
        <w:rPr>
          <w:rFonts w:ascii="Times New Roman" w:hAnsi="Times New Roman" w:cs="Times New Roman"/>
          <w:sz w:val="24"/>
          <w:szCs w:val="24"/>
        </w:rPr>
        <w:t>, ż</w:t>
      </w:r>
      <w:r w:rsidR="00CD3F80" w:rsidRPr="00005410">
        <w:rPr>
          <w:rFonts w:ascii="Times New Roman" w:hAnsi="Times New Roman" w:cs="Times New Roman"/>
          <w:sz w:val="24"/>
          <w:szCs w:val="24"/>
        </w:rPr>
        <w:t xml:space="preserve">e sytuacja </w:t>
      </w:r>
      <w:r w:rsidR="001E1193" w:rsidRPr="00005410">
        <w:rPr>
          <w:rFonts w:ascii="Times New Roman" w:hAnsi="Times New Roman" w:cs="Times New Roman"/>
          <w:sz w:val="24"/>
          <w:szCs w:val="24"/>
        </w:rPr>
        <w:t xml:space="preserve">w zakresie analizowanego zjawiska społeczno – ekonomicznego </w:t>
      </w:r>
      <w:r w:rsidR="00CD3F80" w:rsidRPr="00005410">
        <w:rPr>
          <w:rFonts w:ascii="Times New Roman" w:hAnsi="Times New Roman" w:cs="Times New Roman"/>
          <w:sz w:val="24"/>
          <w:szCs w:val="24"/>
        </w:rPr>
        <w:t>nie jest już</w:t>
      </w:r>
      <w:r w:rsidR="001E1193" w:rsidRPr="00005410">
        <w:rPr>
          <w:rFonts w:ascii="Times New Roman" w:hAnsi="Times New Roman" w:cs="Times New Roman"/>
          <w:sz w:val="24"/>
          <w:szCs w:val="24"/>
        </w:rPr>
        <w:t xml:space="preserve"> tak jedno</w:t>
      </w:r>
      <w:r w:rsidR="00CD3F80" w:rsidRPr="00005410">
        <w:rPr>
          <w:rFonts w:ascii="Times New Roman" w:hAnsi="Times New Roman" w:cs="Times New Roman"/>
          <w:sz w:val="24"/>
          <w:szCs w:val="24"/>
        </w:rPr>
        <w:t xml:space="preserve">znaczna. </w:t>
      </w:r>
      <w:r w:rsidR="001E1193" w:rsidRPr="00005410">
        <w:rPr>
          <w:rFonts w:ascii="Times New Roman" w:hAnsi="Times New Roman" w:cs="Times New Roman"/>
          <w:sz w:val="24"/>
          <w:szCs w:val="24"/>
        </w:rPr>
        <w:t xml:space="preserve">Największy </w:t>
      </w:r>
      <w:r w:rsidR="00D50BD3" w:rsidRPr="00005410">
        <w:rPr>
          <w:rFonts w:ascii="Times New Roman" w:hAnsi="Times New Roman" w:cs="Times New Roman"/>
          <w:sz w:val="24"/>
          <w:szCs w:val="24"/>
        </w:rPr>
        <w:t>udział</w:t>
      </w:r>
      <w:r w:rsidR="001E1193" w:rsidRPr="00005410">
        <w:rPr>
          <w:rFonts w:ascii="Times New Roman" w:hAnsi="Times New Roman" w:cs="Times New Roman"/>
          <w:sz w:val="24"/>
          <w:szCs w:val="24"/>
        </w:rPr>
        <w:t xml:space="preserve"> </w:t>
      </w:r>
      <w:r w:rsidRPr="00005410">
        <w:rPr>
          <w:rFonts w:ascii="Times New Roman" w:hAnsi="Times New Roman" w:cs="Times New Roman"/>
          <w:sz w:val="24"/>
          <w:szCs w:val="24"/>
        </w:rPr>
        <w:t xml:space="preserve">osób zamieszkałych na danym obszarze </w:t>
      </w:r>
      <w:r w:rsidR="001E1193" w:rsidRPr="00005410">
        <w:rPr>
          <w:rFonts w:ascii="Times New Roman" w:hAnsi="Times New Roman" w:cs="Times New Roman"/>
          <w:sz w:val="24"/>
          <w:szCs w:val="24"/>
        </w:rPr>
        <w:t>dojeżdż</w:t>
      </w:r>
      <w:r w:rsidR="00FC668A" w:rsidRPr="00005410">
        <w:rPr>
          <w:rFonts w:ascii="Times New Roman" w:hAnsi="Times New Roman" w:cs="Times New Roman"/>
          <w:sz w:val="24"/>
          <w:szCs w:val="24"/>
        </w:rPr>
        <w:t>aj</w:t>
      </w:r>
      <w:r w:rsidR="001E1193" w:rsidRPr="00005410">
        <w:rPr>
          <w:rFonts w:ascii="Times New Roman" w:hAnsi="Times New Roman" w:cs="Times New Roman"/>
          <w:sz w:val="24"/>
          <w:szCs w:val="24"/>
        </w:rPr>
        <w:t>ą</w:t>
      </w:r>
      <w:r w:rsidR="00FC668A" w:rsidRPr="00005410">
        <w:rPr>
          <w:rFonts w:ascii="Times New Roman" w:hAnsi="Times New Roman" w:cs="Times New Roman"/>
          <w:sz w:val="24"/>
          <w:szCs w:val="24"/>
        </w:rPr>
        <w:t>cy</w:t>
      </w:r>
      <w:r w:rsidR="001E1193" w:rsidRPr="00005410">
        <w:rPr>
          <w:rFonts w:ascii="Times New Roman" w:hAnsi="Times New Roman" w:cs="Times New Roman"/>
          <w:sz w:val="24"/>
          <w:szCs w:val="24"/>
        </w:rPr>
        <w:t>ch do p</w:t>
      </w:r>
      <w:r w:rsidR="00FC668A" w:rsidRPr="00005410">
        <w:rPr>
          <w:rFonts w:ascii="Times New Roman" w:hAnsi="Times New Roman" w:cs="Times New Roman"/>
          <w:sz w:val="24"/>
          <w:szCs w:val="24"/>
        </w:rPr>
        <w:t>r</w:t>
      </w:r>
      <w:r w:rsidR="001E1193" w:rsidRPr="00005410">
        <w:rPr>
          <w:rFonts w:ascii="Times New Roman" w:hAnsi="Times New Roman" w:cs="Times New Roman"/>
          <w:sz w:val="24"/>
          <w:szCs w:val="24"/>
        </w:rPr>
        <w:t xml:space="preserve">acy na </w:t>
      </w:r>
      <w:r w:rsidR="00FC668A" w:rsidRPr="00005410">
        <w:rPr>
          <w:rFonts w:ascii="Times New Roman" w:hAnsi="Times New Roman" w:cs="Times New Roman"/>
          <w:sz w:val="24"/>
          <w:szCs w:val="24"/>
        </w:rPr>
        <w:t>n</w:t>
      </w:r>
      <w:r w:rsidR="001E1193" w:rsidRPr="00005410">
        <w:rPr>
          <w:rFonts w:ascii="Times New Roman" w:hAnsi="Times New Roman" w:cs="Times New Roman"/>
          <w:sz w:val="24"/>
          <w:szCs w:val="24"/>
        </w:rPr>
        <w:t>ajkrótsz</w:t>
      </w:r>
      <w:r w:rsidR="00FC668A" w:rsidRPr="00005410">
        <w:rPr>
          <w:rFonts w:ascii="Times New Roman" w:hAnsi="Times New Roman" w:cs="Times New Roman"/>
          <w:sz w:val="24"/>
          <w:szCs w:val="24"/>
        </w:rPr>
        <w:t>e</w:t>
      </w:r>
      <w:r w:rsidR="001E1193" w:rsidRPr="00005410">
        <w:rPr>
          <w:rFonts w:ascii="Times New Roman" w:hAnsi="Times New Roman" w:cs="Times New Roman"/>
          <w:sz w:val="24"/>
          <w:szCs w:val="24"/>
        </w:rPr>
        <w:t xml:space="preserve"> odległoś</w:t>
      </w:r>
      <w:r w:rsidR="00FC668A" w:rsidRPr="00005410">
        <w:rPr>
          <w:rFonts w:ascii="Times New Roman" w:hAnsi="Times New Roman" w:cs="Times New Roman"/>
          <w:sz w:val="24"/>
          <w:szCs w:val="24"/>
        </w:rPr>
        <w:t>ci (</w:t>
      </w:r>
      <w:r w:rsidR="00E727BD" w:rsidRPr="00005410">
        <w:rPr>
          <w:rFonts w:ascii="Times New Roman" w:hAnsi="Times New Roman" w:cs="Times New Roman"/>
          <w:sz w:val="24"/>
          <w:szCs w:val="24"/>
        </w:rPr>
        <w:t>do</w:t>
      </w:r>
      <w:r w:rsidR="00FC668A" w:rsidRPr="00005410">
        <w:rPr>
          <w:rFonts w:ascii="Times New Roman" w:hAnsi="Times New Roman" w:cs="Times New Roman"/>
          <w:sz w:val="24"/>
          <w:szCs w:val="24"/>
        </w:rPr>
        <w:t xml:space="preserve"> 5 km) wykazuje bowiem województwo podlaskie (38,0%)</w:t>
      </w:r>
      <w:r w:rsidR="00B74DB6" w:rsidRPr="00005410">
        <w:rPr>
          <w:rFonts w:ascii="Times New Roman" w:hAnsi="Times New Roman" w:cs="Times New Roman"/>
          <w:sz w:val="24"/>
          <w:szCs w:val="24"/>
        </w:rPr>
        <w:t>, zaś</w:t>
      </w:r>
      <w:r w:rsidR="006B634B" w:rsidRPr="00005410">
        <w:rPr>
          <w:rFonts w:ascii="Times New Roman" w:hAnsi="Times New Roman" w:cs="Times New Roman"/>
          <w:sz w:val="24"/>
          <w:szCs w:val="24"/>
        </w:rPr>
        <w:t xml:space="preserve"> najmniejszy</w:t>
      </w:r>
      <w:r w:rsidR="007D31B4" w:rsidRPr="00005410">
        <w:rPr>
          <w:rFonts w:ascii="Times New Roman" w:hAnsi="Times New Roman" w:cs="Times New Roman"/>
          <w:sz w:val="24"/>
          <w:szCs w:val="24"/>
        </w:rPr>
        <w:t xml:space="preserve"> –</w:t>
      </w:r>
      <w:r w:rsidR="00883756">
        <w:rPr>
          <w:rFonts w:ascii="Times New Roman" w:hAnsi="Times New Roman" w:cs="Times New Roman"/>
          <w:sz w:val="24"/>
          <w:szCs w:val="24"/>
        </w:rPr>
        <w:t xml:space="preserve"> mazowieckie (22,4%). Z kolei w </w:t>
      </w:r>
      <w:r w:rsidR="007D31B4" w:rsidRPr="00005410">
        <w:rPr>
          <w:rFonts w:ascii="Times New Roman" w:hAnsi="Times New Roman" w:cs="Times New Roman"/>
          <w:sz w:val="24"/>
          <w:szCs w:val="24"/>
        </w:rPr>
        <w:t>kategorii</w:t>
      </w:r>
      <w:r w:rsidR="001E1193" w:rsidRPr="00005410">
        <w:rPr>
          <w:rFonts w:ascii="Times New Roman" w:hAnsi="Times New Roman" w:cs="Times New Roman"/>
          <w:sz w:val="24"/>
          <w:szCs w:val="24"/>
        </w:rPr>
        <w:t xml:space="preserve"> </w:t>
      </w:r>
      <w:r w:rsidR="007D31B4" w:rsidRPr="00005410">
        <w:rPr>
          <w:rFonts w:ascii="Times New Roman" w:hAnsi="Times New Roman" w:cs="Times New Roman"/>
          <w:sz w:val="24"/>
          <w:szCs w:val="24"/>
        </w:rPr>
        <w:t>6 –</w:t>
      </w:r>
      <w:r w:rsidR="001E1193" w:rsidRPr="00005410">
        <w:rPr>
          <w:rFonts w:ascii="Times New Roman" w:hAnsi="Times New Roman" w:cs="Times New Roman"/>
          <w:sz w:val="24"/>
          <w:szCs w:val="24"/>
        </w:rPr>
        <w:t xml:space="preserve"> 20 km</w:t>
      </w:r>
      <w:r w:rsidR="007D31B4" w:rsidRPr="00005410">
        <w:rPr>
          <w:rFonts w:ascii="Times New Roman" w:hAnsi="Times New Roman" w:cs="Times New Roman"/>
          <w:sz w:val="24"/>
          <w:szCs w:val="24"/>
        </w:rPr>
        <w:t xml:space="preserve"> pod tym względem do</w:t>
      </w:r>
      <w:r w:rsidR="001E1193" w:rsidRPr="00005410">
        <w:rPr>
          <w:rFonts w:ascii="Times New Roman" w:hAnsi="Times New Roman" w:cs="Times New Roman"/>
          <w:sz w:val="24"/>
          <w:szCs w:val="24"/>
        </w:rPr>
        <w:t>minuje wo</w:t>
      </w:r>
      <w:r w:rsidR="007D31B4" w:rsidRPr="00005410">
        <w:rPr>
          <w:rFonts w:ascii="Times New Roman" w:hAnsi="Times New Roman" w:cs="Times New Roman"/>
          <w:sz w:val="24"/>
          <w:szCs w:val="24"/>
        </w:rPr>
        <w:t>j</w:t>
      </w:r>
      <w:r w:rsidR="001E1193" w:rsidRPr="00005410">
        <w:rPr>
          <w:rFonts w:ascii="Times New Roman" w:hAnsi="Times New Roman" w:cs="Times New Roman"/>
          <w:sz w:val="24"/>
          <w:szCs w:val="24"/>
        </w:rPr>
        <w:t>ewództwo ślą</w:t>
      </w:r>
      <w:r w:rsidR="007D31B4" w:rsidRPr="00005410">
        <w:rPr>
          <w:rFonts w:ascii="Times New Roman" w:hAnsi="Times New Roman" w:cs="Times New Roman"/>
          <w:sz w:val="24"/>
          <w:szCs w:val="24"/>
        </w:rPr>
        <w:t>sk</w:t>
      </w:r>
      <w:r w:rsidR="00883756">
        <w:rPr>
          <w:rFonts w:ascii="Times New Roman" w:hAnsi="Times New Roman" w:cs="Times New Roman"/>
          <w:sz w:val="24"/>
          <w:szCs w:val="24"/>
        </w:rPr>
        <w:t>ie (55,9%), a </w:t>
      </w:r>
      <w:r w:rsidR="007D31B4" w:rsidRPr="00005410">
        <w:rPr>
          <w:rFonts w:ascii="Times New Roman" w:hAnsi="Times New Roman" w:cs="Times New Roman"/>
          <w:sz w:val="24"/>
          <w:szCs w:val="24"/>
        </w:rPr>
        <w:t>naj</w:t>
      </w:r>
      <w:r w:rsidR="00C2127D" w:rsidRPr="00005410">
        <w:rPr>
          <w:rFonts w:ascii="Times New Roman" w:hAnsi="Times New Roman" w:cs="Times New Roman"/>
          <w:sz w:val="24"/>
          <w:szCs w:val="24"/>
        </w:rPr>
        <w:t>mniejszy</w:t>
      </w:r>
      <w:r w:rsidR="007D31B4" w:rsidRPr="00005410">
        <w:rPr>
          <w:rFonts w:ascii="Times New Roman" w:hAnsi="Times New Roman" w:cs="Times New Roman"/>
          <w:sz w:val="24"/>
          <w:szCs w:val="24"/>
        </w:rPr>
        <w:t xml:space="preserve"> </w:t>
      </w:r>
      <w:r w:rsidRPr="00005410">
        <w:rPr>
          <w:rFonts w:ascii="Times New Roman" w:hAnsi="Times New Roman" w:cs="Times New Roman"/>
          <w:sz w:val="24"/>
          <w:szCs w:val="24"/>
        </w:rPr>
        <w:t xml:space="preserve">rozpatrywany </w:t>
      </w:r>
      <w:r w:rsidR="00D50BD3" w:rsidRPr="00005410">
        <w:rPr>
          <w:rFonts w:ascii="Times New Roman" w:hAnsi="Times New Roman" w:cs="Times New Roman"/>
          <w:sz w:val="24"/>
          <w:szCs w:val="24"/>
        </w:rPr>
        <w:t>udział</w:t>
      </w:r>
      <w:r w:rsidR="007D31B4" w:rsidRPr="00005410">
        <w:rPr>
          <w:rFonts w:ascii="Times New Roman" w:hAnsi="Times New Roman" w:cs="Times New Roman"/>
          <w:sz w:val="24"/>
          <w:szCs w:val="24"/>
        </w:rPr>
        <w:t xml:space="preserve"> doj</w:t>
      </w:r>
      <w:r w:rsidR="001E1193" w:rsidRPr="00005410">
        <w:rPr>
          <w:rFonts w:ascii="Times New Roman" w:hAnsi="Times New Roman" w:cs="Times New Roman"/>
          <w:sz w:val="24"/>
          <w:szCs w:val="24"/>
        </w:rPr>
        <w:t>eżdż</w:t>
      </w:r>
      <w:r w:rsidR="007D31B4" w:rsidRPr="00005410">
        <w:rPr>
          <w:rFonts w:ascii="Times New Roman" w:hAnsi="Times New Roman" w:cs="Times New Roman"/>
          <w:sz w:val="24"/>
          <w:szCs w:val="24"/>
        </w:rPr>
        <w:t>a</w:t>
      </w:r>
      <w:r w:rsidR="001E1193" w:rsidRPr="00005410">
        <w:rPr>
          <w:rFonts w:ascii="Times New Roman" w:hAnsi="Times New Roman" w:cs="Times New Roman"/>
          <w:sz w:val="24"/>
          <w:szCs w:val="24"/>
        </w:rPr>
        <w:t>ją</w:t>
      </w:r>
      <w:r w:rsidR="007D31B4" w:rsidRPr="00005410">
        <w:rPr>
          <w:rFonts w:ascii="Times New Roman" w:hAnsi="Times New Roman" w:cs="Times New Roman"/>
          <w:sz w:val="24"/>
          <w:szCs w:val="24"/>
        </w:rPr>
        <w:t>cych na takie odle</w:t>
      </w:r>
      <w:r w:rsidR="001E1193" w:rsidRPr="00005410">
        <w:rPr>
          <w:rFonts w:ascii="Times New Roman" w:hAnsi="Times New Roman" w:cs="Times New Roman"/>
          <w:sz w:val="24"/>
          <w:szCs w:val="24"/>
        </w:rPr>
        <w:t>głośc</w:t>
      </w:r>
      <w:r w:rsidR="00883756">
        <w:rPr>
          <w:rFonts w:ascii="Times New Roman" w:hAnsi="Times New Roman" w:cs="Times New Roman"/>
          <w:sz w:val="24"/>
          <w:szCs w:val="24"/>
        </w:rPr>
        <w:t>i zaobserwowano w </w:t>
      </w:r>
      <w:r w:rsidR="007D31B4" w:rsidRPr="00005410">
        <w:rPr>
          <w:rFonts w:ascii="Times New Roman" w:hAnsi="Times New Roman" w:cs="Times New Roman"/>
          <w:sz w:val="24"/>
          <w:szCs w:val="24"/>
        </w:rPr>
        <w:t xml:space="preserve">województwie </w:t>
      </w:r>
      <w:r w:rsidR="00C24CE9" w:rsidRPr="00005410">
        <w:rPr>
          <w:rFonts w:ascii="Times New Roman" w:hAnsi="Times New Roman" w:cs="Times New Roman"/>
          <w:sz w:val="24"/>
          <w:szCs w:val="24"/>
        </w:rPr>
        <w:t>warmińsko</w:t>
      </w:r>
      <w:r w:rsidR="00A2350A">
        <w:rPr>
          <w:rFonts w:ascii="Times New Roman" w:hAnsi="Times New Roman" w:cs="Times New Roman"/>
          <w:sz w:val="24"/>
          <w:szCs w:val="24"/>
        </w:rPr>
        <w:t>-</w:t>
      </w:r>
      <w:r w:rsidR="00C24CE9" w:rsidRPr="00005410">
        <w:rPr>
          <w:rFonts w:ascii="Times New Roman" w:hAnsi="Times New Roman" w:cs="Times New Roman"/>
          <w:sz w:val="24"/>
          <w:szCs w:val="24"/>
        </w:rPr>
        <w:t>ma</w:t>
      </w:r>
      <w:r w:rsidR="00CE1AB6" w:rsidRPr="00005410">
        <w:rPr>
          <w:rFonts w:ascii="Times New Roman" w:hAnsi="Times New Roman" w:cs="Times New Roman"/>
          <w:sz w:val="24"/>
          <w:szCs w:val="24"/>
        </w:rPr>
        <w:t>zurs</w:t>
      </w:r>
      <w:r w:rsidR="00C24CE9" w:rsidRPr="00005410">
        <w:rPr>
          <w:rFonts w:ascii="Times New Roman" w:hAnsi="Times New Roman" w:cs="Times New Roman"/>
          <w:sz w:val="24"/>
          <w:szCs w:val="24"/>
        </w:rPr>
        <w:t xml:space="preserve">kim </w:t>
      </w:r>
      <w:r w:rsidR="007D31B4" w:rsidRPr="00005410">
        <w:rPr>
          <w:rFonts w:ascii="Times New Roman" w:hAnsi="Times New Roman" w:cs="Times New Roman"/>
          <w:sz w:val="24"/>
          <w:szCs w:val="24"/>
        </w:rPr>
        <w:t>(4</w:t>
      </w:r>
      <w:r w:rsidR="00CE1AB6" w:rsidRPr="00005410">
        <w:rPr>
          <w:rFonts w:ascii="Times New Roman" w:hAnsi="Times New Roman" w:cs="Times New Roman"/>
          <w:sz w:val="24"/>
          <w:szCs w:val="24"/>
        </w:rPr>
        <w:t>3</w:t>
      </w:r>
      <w:r w:rsidR="007D31B4" w:rsidRPr="00005410">
        <w:rPr>
          <w:rFonts w:ascii="Times New Roman" w:hAnsi="Times New Roman" w:cs="Times New Roman"/>
          <w:sz w:val="24"/>
          <w:szCs w:val="24"/>
        </w:rPr>
        <w:t>,</w:t>
      </w:r>
      <w:r w:rsidR="00CE1AB6" w:rsidRPr="00005410">
        <w:rPr>
          <w:rFonts w:ascii="Times New Roman" w:hAnsi="Times New Roman" w:cs="Times New Roman"/>
          <w:sz w:val="24"/>
          <w:szCs w:val="24"/>
        </w:rPr>
        <w:t>1</w:t>
      </w:r>
      <w:r w:rsidR="007D31B4" w:rsidRPr="00005410">
        <w:rPr>
          <w:rFonts w:ascii="Times New Roman" w:hAnsi="Times New Roman" w:cs="Times New Roman"/>
          <w:sz w:val="24"/>
          <w:szCs w:val="24"/>
        </w:rPr>
        <w:t xml:space="preserve">%). W przypadku dojazdów </w:t>
      </w:r>
      <w:r w:rsidR="001E1193" w:rsidRPr="00005410">
        <w:rPr>
          <w:rFonts w:ascii="Times New Roman" w:hAnsi="Times New Roman" w:cs="Times New Roman"/>
          <w:sz w:val="24"/>
          <w:szCs w:val="24"/>
        </w:rPr>
        <w:t xml:space="preserve">do pracy </w:t>
      </w:r>
      <w:r w:rsidR="007D31B4" w:rsidRPr="00005410">
        <w:rPr>
          <w:rFonts w:ascii="Times New Roman" w:hAnsi="Times New Roman" w:cs="Times New Roman"/>
          <w:sz w:val="24"/>
          <w:szCs w:val="24"/>
        </w:rPr>
        <w:t xml:space="preserve">na </w:t>
      </w:r>
      <w:r w:rsidR="001E1193" w:rsidRPr="00005410">
        <w:rPr>
          <w:rFonts w:ascii="Times New Roman" w:hAnsi="Times New Roman" w:cs="Times New Roman"/>
          <w:sz w:val="24"/>
          <w:szCs w:val="24"/>
        </w:rPr>
        <w:t>odległość</w:t>
      </w:r>
      <w:r w:rsidR="007D31B4" w:rsidRPr="00005410">
        <w:rPr>
          <w:rFonts w:ascii="Times New Roman" w:hAnsi="Times New Roman" w:cs="Times New Roman"/>
          <w:sz w:val="24"/>
          <w:szCs w:val="24"/>
        </w:rPr>
        <w:t xml:space="preserve"> od 21 do 50 km przeważa </w:t>
      </w:r>
      <w:r w:rsidR="00940D48">
        <w:rPr>
          <w:rFonts w:ascii="Times New Roman" w:hAnsi="Times New Roman" w:cs="Times New Roman"/>
          <w:sz w:val="24"/>
          <w:szCs w:val="24"/>
        </w:rPr>
        <w:t>województwo</w:t>
      </w:r>
      <w:r w:rsidR="00A6701F" w:rsidRPr="00005410">
        <w:rPr>
          <w:rFonts w:ascii="Times New Roman" w:hAnsi="Times New Roman" w:cs="Times New Roman"/>
          <w:sz w:val="24"/>
          <w:szCs w:val="24"/>
        </w:rPr>
        <w:t xml:space="preserve"> p</w:t>
      </w:r>
      <w:r w:rsidR="007D31B4" w:rsidRPr="00005410">
        <w:rPr>
          <w:rFonts w:ascii="Times New Roman" w:hAnsi="Times New Roman" w:cs="Times New Roman"/>
          <w:sz w:val="24"/>
          <w:szCs w:val="24"/>
        </w:rPr>
        <w:t>o</w:t>
      </w:r>
      <w:r w:rsidR="001E1193" w:rsidRPr="00005410">
        <w:rPr>
          <w:rFonts w:ascii="Times New Roman" w:hAnsi="Times New Roman" w:cs="Times New Roman"/>
          <w:sz w:val="24"/>
          <w:szCs w:val="24"/>
        </w:rPr>
        <w:t>morskie (18,2%), zaś</w:t>
      </w:r>
      <w:r w:rsidR="007D31B4" w:rsidRPr="00005410">
        <w:rPr>
          <w:rFonts w:ascii="Times New Roman" w:hAnsi="Times New Roman" w:cs="Times New Roman"/>
          <w:sz w:val="24"/>
          <w:szCs w:val="24"/>
        </w:rPr>
        <w:t xml:space="preserve"> naj</w:t>
      </w:r>
      <w:r w:rsidR="001E1193" w:rsidRPr="00005410">
        <w:rPr>
          <w:rFonts w:ascii="Times New Roman" w:hAnsi="Times New Roman" w:cs="Times New Roman"/>
          <w:sz w:val="24"/>
          <w:szCs w:val="24"/>
        </w:rPr>
        <w:t xml:space="preserve">mniejszym </w:t>
      </w:r>
      <w:r w:rsidR="00D50BD3" w:rsidRPr="00005410">
        <w:rPr>
          <w:rFonts w:ascii="Times New Roman" w:hAnsi="Times New Roman" w:cs="Times New Roman"/>
          <w:sz w:val="24"/>
          <w:szCs w:val="24"/>
        </w:rPr>
        <w:t>udziałem</w:t>
      </w:r>
      <w:r w:rsidR="001E1193" w:rsidRPr="00005410">
        <w:rPr>
          <w:rFonts w:ascii="Times New Roman" w:hAnsi="Times New Roman" w:cs="Times New Roman"/>
          <w:sz w:val="24"/>
          <w:szCs w:val="24"/>
        </w:rPr>
        <w:t xml:space="preserve"> </w:t>
      </w:r>
      <w:r w:rsidR="00D50BD3" w:rsidRPr="00005410">
        <w:rPr>
          <w:rFonts w:ascii="Times New Roman" w:hAnsi="Times New Roman" w:cs="Times New Roman"/>
          <w:sz w:val="24"/>
          <w:szCs w:val="24"/>
        </w:rPr>
        <w:t xml:space="preserve">dojeżdżających </w:t>
      </w:r>
      <w:r w:rsidRPr="00005410">
        <w:rPr>
          <w:rFonts w:ascii="Times New Roman" w:hAnsi="Times New Roman" w:cs="Times New Roman"/>
          <w:sz w:val="24"/>
          <w:szCs w:val="24"/>
        </w:rPr>
        <w:t xml:space="preserve">tego rodzaju </w:t>
      </w:r>
      <w:r w:rsidR="001E1193" w:rsidRPr="00005410">
        <w:rPr>
          <w:rFonts w:ascii="Times New Roman" w:hAnsi="Times New Roman" w:cs="Times New Roman"/>
          <w:sz w:val="24"/>
          <w:szCs w:val="24"/>
        </w:rPr>
        <w:t>charakter</w:t>
      </w:r>
      <w:r w:rsidR="007D31B4" w:rsidRPr="00005410">
        <w:rPr>
          <w:rFonts w:ascii="Times New Roman" w:hAnsi="Times New Roman" w:cs="Times New Roman"/>
          <w:sz w:val="24"/>
          <w:szCs w:val="24"/>
        </w:rPr>
        <w:t xml:space="preserve">yzuje się </w:t>
      </w:r>
      <w:r w:rsidR="00A6701F" w:rsidRPr="00005410">
        <w:rPr>
          <w:rFonts w:ascii="Times New Roman" w:hAnsi="Times New Roman" w:cs="Times New Roman"/>
          <w:sz w:val="24"/>
          <w:szCs w:val="24"/>
        </w:rPr>
        <w:t>województwo p</w:t>
      </w:r>
      <w:r w:rsidR="007D31B4" w:rsidRPr="00005410">
        <w:rPr>
          <w:rFonts w:ascii="Times New Roman" w:hAnsi="Times New Roman" w:cs="Times New Roman"/>
          <w:sz w:val="24"/>
          <w:szCs w:val="24"/>
        </w:rPr>
        <w:t>odlas</w:t>
      </w:r>
      <w:r w:rsidR="00A6701F" w:rsidRPr="00005410">
        <w:rPr>
          <w:rFonts w:ascii="Times New Roman" w:hAnsi="Times New Roman" w:cs="Times New Roman"/>
          <w:sz w:val="24"/>
          <w:szCs w:val="24"/>
        </w:rPr>
        <w:t>k</w:t>
      </w:r>
      <w:r w:rsidR="007D31B4" w:rsidRPr="00005410">
        <w:rPr>
          <w:rFonts w:ascii="Times New Roman" w:hAnsi="Times New Roman" w:cs="Times New Roman"/>
          <w:sz w:val="24"/>
          <w:szCs w:val="24"/>
        </w:rPr>
        <w:t xml:space="preserve">ie – 11,6%. </w:t>
      </w:r>
      <w:r w:rsidR="00883756">
        <w:rPr>
          <w:rFonts w:ascii="Times New Roman" w:hAnsi="Times New Roman" w:cs="Times New Roman"/>
          <w:sz w:val="24"/>
          <w:szCs w:val="24"/>
        </w:rPr>
        <w:t>Z </w:t>
      </w:r>
      <w:r w:rsidR="00B74DB6" w:rsidRPr="00005410">
        <w:rPr>
          <w:rFonts w:ascii="Times New Roman" w:hAnsi="Times New Roman" w:cs="Times New Roman"/>
          <w:sz w:val="24"/>
          <w:szCs w:val="24"/>
        </w:rPr>
        <w:t xml:space="preserve">kolei </w:t>
      </w:r>
      <w:r w:rsidR="00D50BD3" w:rsidRPr="00005410">
        <w:rPr>
          <w:rFonts w:ascii="Times New Roman" w:hAnsi="Times New Roman" w:cs="Times New Roman"/>
          <w:sz w:val="24"/>
          <w:szCs w:val="24"/>
        </w:rPr>
        <w:t xml:space="preserve">największym udziałem dojeżdżających na </w:t>
      </w:r>
      <w:r w:rsidR="00B74DB6" w:rsidRPr="00005410">
        <w:rPr>
          <w:rFonts w:ascii="Times New Roman" w:hAnsi="Times New Roman" w:cs="Times New Roman"/>
          <w:sz w:val="24"/>
          <w:szCs w:val="24"/>
        </w:rPr>
        <w:t>n</w:t>
      </w:r>
      <w:r w:rsidR="00E67410" w:rsidRPr="00005410">
        <w:rPr>
          <w:rFonts w:ascii="Times New Roman" w:hAnsi="Times New Roman" w:cs="Times New Roman"/>
          <w:sz w:val="24"/>
          <w:szCs w:val="24"/>
        </w:rPr>
        <w:t>ajd</w:t>
      </w:r>
      <w:r w:rsidR="00B74DB6" w:rsidRPr="00005410">
        <w:rPr>
          <w:rFonts w:ascii="Times New Roman" w:hAnsi="Times New Roman" w:cs="Times New Roman"/>
          <w:sz w:val="24"/>
          <w:szCs w:val="24"/>
        </w:rPr>
        <w:t>al</w:t>
      </w:r>
      <w:r w:rsidR="00E67410" w:rsidRPr="00005410">
        <w:rPr>
          <w:rFonts w:ascii="Times New Roman" w:hAnsi="Times New Roman" w:cs="Times New Roman"/>
          <w:sz w:val="24"/>
          <w:szCs w:val="24"/>
        </w:rPr>
        <w:t>sze odległości (51 i wi</w:t>
      </w:r>
      <w:r w:rsidR="00B74DB6" w:rsidRPr="00005410">
        <w:rPr>
          <w:rFonts w:ascii="Times New Roman" w:hAnsi="Times New Roman" w:cs="Times New Roman"/>
          <w:sz w:val="24"/>
          <w:szCs w:val="24"/>
        </w:rPr>
        <w:t>ę</w:t>
      </w:r>
      <w:r w:rsidR="00E67410" w:rsidRPr="00005410">
        <w:rPr>
          <w:rFonts w:ascii="Times New Roman" w:hAnsi="Times New Roman" w:cs="Times New Roman"/>
          <w:sz w:val="24"/>
          <w:szCs w:val="24"/>
        </w:rPr>
        <w:t>c</w:t>
      </w:r>
      <w:r w:rsidR="00B74DB6" w:rsidRPr="00005410">
        <w:rPr>
          <w:rFonts w:ascii="Times New Roman" w:hAnsi="Times New Roman" w:cs="Times New Roman"/>
          <w:sz w:val="24"/>
          <w:szCs w:val="24"/>
        </w:rPr>
        <w:t xml:space="preserve">ej km) </w:t>
      </w:r>
      <w:r w:rsidR="00D50BD3" w:rsidRPr="00005410">
        <w:rPr>
          <w:rFonts w:ascii="Times New Roman" w:hAnsi="Times New Roman" w:cs="Times New Roman"/>
          <w:sz w:val="24"/>
          <w:szCs w:val="24"/>
        </w:rPr>
        <w:t xml:space="preserve">charakteryzowali się </w:t>
      </w:r>
      <w:r w:rsidR="00E67410" w:rsidRPr="00005410">
        <w:rPr>
          <w:rFonts w:ascii="Times New Roman" w:hAnsi="Times New Roman" w:cs="Times New Roman"/>
          <w:sz w:val="24"/>
          <w:szCs w:val="24"/>
        </w:rPr>
        <w:t xml:space="preserve">mieszkańcy </w:t>
      </w:r>
      <w:r w:rsidR="00A6701F" w:rsidRPr="00005410">
        <w:rPr>
          <w:rFonts w:ascii="Times New Roman" w:hAnsi="Times New Roman" w:cs="Times New Roman"/>
          <w:sz w:val="24"/>
          <w:szCs w:val="24"/>
        </w:rPr>
        <w:t xml:space="preserve">województwa </w:t>
      </w:r>
      <w:r w:rsidR="00940D48">
        <w:rPr>
          <w:rFonts w:ascii="Times New Roman" w:hAnsi="Times New Roman" w:cs="Times New Roman"/>
          <w:sz w:val="24"/>
          <w:szCs w:val="24"/>
        </w:rPr>
        <w:t>m</w:t>
      </w:r>
      <w:r w:rsidR="00DE1EC4">
        <w:rPr>
          <w:rFonts w:ascii="Times New Roman" w:hAnsi="Times New Roman" w:cs="Times New Roman"/>
          <w:sz w:val="24"/>
          <w:szCs w:val="24"/>
        </w:rPr>
        <w:t>azo</w:t>
      </w:r>
      <w:r w:rsidR="00A6701F" w:rsidRPr="00005410">
        <w:rPr>
          <w:rFonts w:ascii="Times New Roman" w:hAnsi="Times New Roman" w:cs="Times New Roman"/>
          <w:sz w:val="24"/>
          <w:szCs w:val="24"/>
        </w:rPr>
        <w:t xml:space="preserve">wieckiego </w:t>
      </w:r>
      <w:r w:rsidR="00E67410" w:rsidRPr="00005410">
        <w:rPr>
          <w:rFonts w:ascii="Times New Roman" w:hAnsi="Times New Roman" w:cs="Times New Roman"/>
          <w:sz w:val="24"/>
          <w:szCs w:val="24"/>
        </w:rPr>
        <w:t>(</w:t>
      </w:r>
      <w:r w:rsidRPr="00005410">
        <w:rPr>
          <w:rFonts w:ascii="Times New Roman" w:hAnsi="Times New Roman" w:cs="Times New Roman"/>
          <w:sz w:val="24"/>
          <w:szCs w:val="24"/>
        </w:rPr>
        <w:t xml:space="preserve">czyniło tak </w:t>
      </w:r>
      <w:r w:rsidR="00E67410" w:rsidRPr="00005410">
        <w:rPr>
          <w:rFonts w:ascii="Times New Roman" w:hAnsi="Times New Roman" w:cs="Times New Roman"/>
          <w:sz w:val="24"/>
          <w:szCs w:val="24"/>
        </w:rPr>
        <w:t>6,5%</w:t>
      </w:r>
      <w:r w:rsidRPr="00005410">
        <w:rPr>
          <w:rFonts w:ascii="Times New Roman" w:hAnsi="Times New Roman" w:cs="Times New Roman"/>
          <w:sz w:val="24"/>
          <w:szCs w:val="24"/>
        </w:rPr>
        <w:t xml:space="preserve"> mieszkańców tego województwa</w:t>
      </w:r>
      <w:r w:rsidR="00E67410" w:rsidRPr="00005410">
        <w:rPr>
          <w:rFonts w:ascii="Times New Roman" w:hAnsi="Times New Roman" w:cs="Times New Roman"/>
          <w:sz w:val="24"/>
          <w:szCs w:val="24"/>
        </w:rPr>
        <w:t xml:space="preserve">), </w:t>
      </w:r>
      <w:r w:rsidR="00F139E9" w:rsidRPr="00005410">
        <w:rPr>
          <w:rFonts w:ascii="Times New Roman" w:hAnsi="Times New Roman" w:cs="Times New Roman"/>
          <w:sz w:val="24"/>
          <w:szCs w:val="24"/>
        </w:rPr>
        <w:t>natomiast</w:t>
      </w:r>
      <w:r w:rsidR="00E67410" w:rsidRPr="00005410">
        <w:rPr>
          <w:rFonts w:ascii="Times New Roman" w:hAnsi="Times New Roman" w:cs="Times New Roman"/>
          <w:sz w:val="24"/>
          <w:szCs w:val="24"/>
        </w:rPr>
        <w:t xml:space="preserve"> </w:t>
      </w:r>
      <w:r w:rsidR="00D50BD3" w:rsidRPr="00005410">
        <w:rPr>
          <w:rFonts w:ascii="Times New Roman" w:hAnsi="Times New Roman" w:cs="Times New Roman"/>
          <w:sz w:val="24"/>
          <w:szCs w:val="24"/>
        </w:rPr>
        <w:t>najmniejszym</w:t>
      </w:r>
      <w:r w:rsidR="00E67410" w:rsidRPr="00005410">
        <w:rPr>
          <w:rFonts w:ascii="Times New Roman" w:hAnsi="Times New Roman" w:cs="Times New Roman"/>
          <w:sz w:val="24"/>
          <w:szCs w:val="24"/>
        </w:rPr>
        <w:t xml:space="preserve"> – mieszkań</w:t>
      </w:r>
      <w:r w:rsidR="00B74DB6" w:rsidRPr="00005410">
        <w:rPr>
          <w:rFonts w:ascii="Times New Roman" w:hAnsi="Times New Roman" w:cs="Times New Roman"/>
          <w:sz w:val="24"/>
          <w:szCs w:val="24"/>
        </w:rPr>
        <w:t xml:space="preserve">cy </w:t>
      </w:r>
      <w:r w:rsidR="00A6701F" w:rsidRPr="00005410">
        <w:rPr>
          <w:rFonts w:ascii="Times New Roman" w:hAnsi="Times New Roman" w:cs="Times New Roman"/>
          <w:sz w:val="24"/>
          <w:szCs w:val="24"/>
        </w:rPr>
        <w:t xml:space="preserve">województwa </w:t>
      </w:r>
      <w:r w:rsidR="00C24CE9" w:rsidRPr="00005410">
        <w:rPr>
          <w:rFonts w:ascii="Times New Roman" w:hAnsi="Times New Roman" w:cs="Times New Roman"/>
          <w:sz w:val="24"/>
          <w:szCs w:val="24"/>
        </w:rPr>
        <w:t>ślą</w:t>
      </w:r>
      <w:r w:rsidR="00CE1AB6" w:rsidRPr="00005410">
        <w:rPr>
          <w:rFonts w:ascii="Times New Roman" w:hAnsi="Times New Roman" w:cs="Times New Roman"/>
          <w:sz w:val="24"/>
          <w:szCs w:val="24"/>
        </w:rPr>
        <w:t>skie</w:t>
      </w:r>
      <w:r w:rsidR="00C24CE9" w:rsidRPr="00005410">
        <w:rPr>
          <w:rFonts w:ascii="Times New Roman" w:hAnsi="Times New Roman" w:cs="Times New Roman"/>
          <w:sz w:val="24"/>
          <w:szCs w:val="24"/>
        </w:rPr>
        <w:t>go</w:t>
      </w:r>
      <w:r w:rsidR="00CE1AB6" w:rsidRPr="00005410">
        <w:rPr>
          <w:rFonts w:ascii="Times New Roman" w:hAnsi="Times New Roman" w:cs="Times New Roman"/>
          <w:sz w:val="24"/>
          <w:szCs w:val="24"/>
        </w:rPr>
        <w:t xml:space="preserve"> </w:t>
      </w:r>
      <w:r w:rsidR="00E67410" w:rsidRPr="00005410">
        <w:rPr>
          <w:rFonts w:ascii="Times New Roman" w:hAnsi="Times New Roman" w:cs="Times New Roman"/>
          <w:sz w:val="24"/>
          <w:szCs w:val="24"/>
        </w:rPr>
        <w:t>(</w:t>
      </w:r>
      <w:r w:rsidR="00CE1AB6" w:rsidRPr="00005410">
        <w:rPr>
          <w:rFonts w:ascii="Times New Roman" w:hAnsi="Times New Roman" w:cs="Times New Roman"/>
          <w:sz w:val="24"/>
          <w:szCs w:val="24"/>
        </w:rPr>
        <w:t>2,5</w:t>
      </w:r>
      <w:r w:rsidR="00E67410" w:rsidRPr="00005410">
        <w:rPr>
          <w:rFonts w:ascii="Times New Roman" w:hAnsi="Times New Roman" w:cs="Times New Roman"/>
          <w:sz w:val="24"/>
          <w:szCs w:val="24"/>
        </w:rPr>
        <w:t>%).</w:t>
      </w:r>
    </w:p>
    <w:p w:rsidR="001B72D2" w:rsidRPr="00005410" w:rsidRDefault="00B74DB6" w:rsidP="00005410">
      <w:pPr>
        <w:pStyle w:val="tekstgl"/>
        <w:spacing w:after="0" w:line="360" w:lineRule="auto"/>
        <w:ind w:firstLine="709"/>
        <w:rPr>
          <w:rFonts w:ascii="Times New Roman" w:hAnsi="Times New Roman" w:cs="Times New Roman"/>
          <w:sz w:val="24"/>
          <w:szCs w:val="24"/>
        </w:rPr>
      </w:pPr>
      <w:r w:rsidRPr="00005410">
        <w:rPr>
          <w:rFonts w:ascii="Times New Roman" w:hAnsi="Times New Roman" w:cs="Times New Roman"/>
          <w:sz w:val="24"/>
          <w:szCs w:val="24"/>
        </w:rPr>
        <w:t>W strukturze do</w:t>
      </w:r>
      <w:r w:rsidR="001B72D2" w:rsidRPr="00005410">
        <w:rPr>
          <w:rFonts w:ascii="Times New Roman" w:hAnsi="Times New Roman" w:cs="Times New Roman"/>
          <w:sz w:val="24"/>
          <w:szCs w:val="24"/>
        </w:rPr>
        <w:t>j</w:t>
      </w:r>
      <w:r w:rsidRPr="00005410">
        <w:rPr>
          <w:rFonts w:ascii="Times New Roman" w:hAnsi="Times New Roman" w:cs="Times New Roman"/>
          <w:sz w:val="24"/>
          <w:szCs w:val="24"/>
        </w:rPr>
        <w:t>eżdż</w:t>
      </w:r>
      <w:r w:rsidR="001B72D2" w:rsidRPr="00005410">
        <w:rPr>
          <w:rFonts w:ascii="Times New Roman" w:hAnsi="Times New Roman" w:cs="Times New Roman"/>
          <w:sz w:val="24"/>
          <w:szCs w:val="24"/>
        </w:rPr>
        <w:t>a</w:t>
      </w:r>
      <w:r w:rsidRPr="00005410">
        <w:rPr>
          <w:rFonts w:ascii="Times New Roman" w:hAnsi="Times New Roman" w:cs="Times New Roman"/>
          <w:sz w:val="24"/>
          <w:szCs w:val="24"/>
        </w:rPr>
        <w:t>ją</w:t>
      </w:r>
      <w:r w:rsidR="001B72D2" w:rsidRPr="00005410">
        <w:rPr>
          <w:rFonts w:ascii="Times New Roman" w:hAnsi="Times New Roman" w:cs="Times New Roman"/>
          <w:sz w:val="24"/>
          <w:szCs w:val="24"/>
        </w:rPr>
        <w:t xml:space="preserve">cych </w:t>
      </w:r>
      <w:r w:rsidR="009E143E" w:rsidRPr="00005410">
        <w:rPr>
          <w:rFonts w:ascii="Times New Roman" w:hAnsi="Times New Roman" w:cs="Times New Roman"/>
          <w:sz w:val="24"/>
          <w:szCs w:val="24"/>
        </w:rPr>
        <w:t xml:space="preserve">pod tym kątem </w:t>
      </w:r>
      <w:r w:rsidR="001B72D2" w:rsidRPr="00005410">
        <w:rPr>
          <w:rFonts w:ascii="Times New Roman" w:hAnsi="Times New Roman" w:cs="Times New Roman"/>
          <w:sz w:val="24"/>
          <w:szCs w:val="24"/>
        </w:rPr>
        <w:t>według</w:t>
      </w:r>
      <w:r w:rsidRPr="00005410">
        <w:rPr>
          <w:rFonts w:ascii="Times New Roman" w:hAnsi="Times New Roman" w:cs="Times New Roman"/>
          <w:sz w:val="24"/>
          <w:szCs w:val="24"/>
        </w:rPr>
        <w:t xml:space="preserve"> płci widać</w:t>
      </w:r>
      <w:r w:rsidR="001B72D2" w:rsidRPr="00005410">
        <w:rPr>
          <w:rFonts w:ascii="Times New Roman" w:hAnsi="Times New Roman" w:cs="Times New Roman"/>
          <w:sz w:val="24"/>
          <w:szCs w:val="24"/>
        </w:rPr>
        <w:t xml:space="preserve"> dominację m</w:t>
      </w:r>
      <w:r w:rsidRPr="00005410">
        <w:rPr>
          <w:rFonts w:ascii="Times New Roman" w:hAnsi="Times New Roman" w:cs="Times New Roman"/>
          <w:sz w:val="24"/>
          <w:szCs w:val="24"/>
        </w:rPr>
        <w:t>ęż</w:t>
      </w:r>
      <w:r w:rsidR="001B72D2" w:rsidRPr="00005410">
        <w:rPr>
          <w:rFonts w:ascii="Times New Roman" w:hAnsi="Times New Roman" w:cs="Times New Roman"/>
          <w:sz w:val="24"/>
          <w:szCs w:val="24"/>
        </w:rPr>
        <w:t>c</w:t>
      </w:r>
      <w:r w:rsidRPr="00005410">
        <w:rPr>
          <w:rFonts w:ascii="Times New Roman" w:hAnsi="Times New Roman" w:cs="Times New Roman"/>
          <w:sz w:val="24"/>
          <w:szCs w:val="24"/>
        </w:rPr>
        <w:t>zyzn</w:t>
      </w:r>
      <w:r w:rsidR="001B72D2" w:rsidRPr="00005410">
        <w:rPr>
          <w:rFonts w:ascii="Times New Roman" w:hAnsi="Times New Roman" w:cs="Times New Roman"/>
          <w:sz w:val="24"/>
          <w:szCs w:val="24"/>
        </w:rPr>
        <w:t xml:space="preserve"> w każdej kategorii – </w:t>
      </w:r>
      <w:r w:rsidR="003D21D5" w:rsidRPr="00005410">
        <w:rPr>
          <w:rFonts w:ascii="Times New Roman" w:hAnsi="Times New Roman" w:cs="Times New Roman"/>
          <w:sz w:val="24"/>
          <w:szCs w:val="24"/>
        </w:rPr>
        <w:t xml:space="preserve">na 100 </w:t>
      </w:r>
      <w:r w:rsidR="00466F16" w:rsidRPr="00005410">
        <w:rPr>
          <w:rFonts w:ascii="Times New Roman" w:hAnsi="Times New Roman" w:cs="Times New Roman"/>
          <w:sz w:val="24"/>
          <w:szCs w:val="24"/>
        </w:rPr>
        <w:t>mężczyzn</w:t>
      </w:r>
      <w:r w:rsidR="003D21D5" w:rsidRPr="00005410">
        <w:rPr>
          <w:rFonts w:ascii="Times New Roman" w:hAnsi="Times New Roman" w:cs="Times New Roman"/>
          <w:sz w:val="24"/>
          <w:szCs w:val="24"/>
        </w:rPr>
        <w:t xml:space="preserve"> przypadało </w:t>
      </w:r>
      <w:r w:rsidR="001B72D2" w:rsidRPr="00005410">
        <w:rPr>
          <w:rFonts w:ascii="Times New Roman" w:hAnsi="Times New Roman" w:cs="Times New Roman"/>
          <w:sz w:val="24"/>
          <w:szCs w:val="24"/>
        </w:rPr>
        <w:t xml:space="preserve">od </w:t>
      </w:r>
      <w:r w:rsidR="00CC2863" w:rsidRPr="00005410">
        <w:rPr>
          <w:rFonts w:ascii="Times New Roman" w:hAnsi="Times New Roman" w:cs="Times New Roman"/>
          <w:sz w:val="24"/>
          <w:szCs w:val="24"/>
        </w:rPr>
        <w:t xml:space="preserve">37 </w:t>
      </w:r>
      <w:r w:rsidRPr="00005410">
        <w:rPr>
          <w:rFonts w:ascii="Times New Roman" w:hAnsi="Times New Roman" w:cs="Times New Roman"/>
          <w:sz w:val="24"/>
          <w:szCs w:val="24"/>
        </w:rPr>
        <w:t>(51 i wię</w:t>
      </w:r>
      <w:r w:rsidR="00CC2863" w:rsidRPr="00005410">
        <w:rPr>
          <w:rFonts w:ascii="Times New Roman" w:hAnsi="Times New Roman" w:cs="Times New Roman"/>
          <w:sz w:val="24"/>
          <w:szCs w:val="24"/>
        </w:rPr>
        <w:t>c</w:t>
      </w:r>
      <w:r w:rsidRPr="00005410">
        <w:rPr>
          <w:rFonts w:ascii="Times New Roman" w:hAnsi="Times New Roman" w:cs="Times New Roman"/>
          <w:sz w:val="24"/>
          <w:szCs w:val="24"/>
        </w:rPr>
        <w:t>ej</w:t>
      </w:r>
      <w:r w:rsidR="00CC2863" w:rsidRPr="00005410">
        <w:rPr>
          <w:rFonts w:ascii="Times New Roman" w:hAnsi="Times New Roman" w:cs="Times New Roman"/>
          <w:sz w:val="24"/>
          <w:szCs w:val="24"/>
        </w:rPr>
        <w:t xml:space="preserve"> km) </w:t>
      </w:r>
      <w:r w:rsidR="00466F16" w:rsidRPr="00005410">
        <w:rPr>
          <w:rFonts w:ascii="Times New Roman" w:hAnsi="Times New Roman" w:cs="Times New Roman"/>
          <w:sz w:val="24"/>
          <w:szCs w:val="24"/>
        </w:rPr>
        <w:t xml:space="preserve">do </w:t>
      </w:r>
      <w:r w:rsidR="000A479F" w:rsidRPr="00005410">
        <w:rPr>
          <w:rFonts w:ascii="Times New Roman" w:hAnsi="Times New Roman" w:cs="Times New Roman"/>
          <w:sz w:val="24"/>
          <w:szCs w:val="24"/>
        </w:rPr>
        <w:t>96</w:t>
      </w:r>
      <w:r w:rsidR="00466F16" w:rsidRPr="00005410">
        <w:rPr>
          <w:rFonts w:ascii="Times New Roman" w:hAnsi="Times New Roman" w:cs="Times New Roman"/>
          <w:sz w:val="24"/>
          <w:szCs w:val="24"/>
        </w:rPr>
        <w:t xml:space="preserve"> kobiet</w:t>
      </w:r>
      <w:r w:rsidR="009E143E" w:rsidRPr="00005410">
        <w:rPr>
          <w:rFonts w:ascii="Times New Roman" w:hAnsi="Times New Roman" w:cs="Times New Roman"/>
          <w:sz w:val="24"/>
          <w:szCs w:val="24"/>
        </w:rPr>
        <w:t xml:space="preserve"> (</w:t>
      </w:r>
      <w:r w:rsidR="00E727BD" w:rsidRPr="00005410">
        <w:rPr>
          <w:rFonts w:ascii="Times New Roman" w:hAnsi="Times New Roman" w:cs="Times New Roman"/>
          <w:sz w:val="24"/>
          <w:szCs w:val="24"/>
        </w:rPr>
        <w:t>do</w:t>
      </w:r>
      <w:r w:rsidR="009E143E" w:rsidRPr="00005410">
        <w:rPr>
          <w:rFonts w:ascii="Times New Roman" w:hAnsi="Times New Roman" w:cs="Times New Roman"/>
          <w:sz w:val="24"/>
          <w:szCs w:val="24"/>
        </w:rPr>
        <w:t xml:space="preserve"> </w:t>
      </w:r>
      <w:r w:rsidR="00940D48">
        <w:rPr>
          <w:rFonts w:ascii="Times New Roman" w:hAnsi="Times New Roman" w:cs="Times New Roman"/>
          <w:sz w:val="24"/>
          <w:szCs w:val="24"/>
        </w:rPr>
        <w:t>5 </w:t>
      </w:r>
      <w:r w:rsidR="00CC2863" w:rsidRPr="00005410">
        <w:rPr>
          <w:rFonts w:ascii="Times New Roman" w:hAnsi="Times New Roman" w:cs="Times New Roman"/>
          <w:sz w:val="24"/>
          <w:szCs w:val="24"/>
        </w:rPr>
        <w:t>km)</w:t>
      </w:r>
      <w:r w:rsidR="00466F16" w:rsidRPr="00005410">
        <w:rPr>
          <w:rFonts w:ascii="Times New Roman" w:hAnsi="Times New Roman" w:cs="Times New Roman"/>
          <w:sz w:val="24"/>
          <w:szCs w:val="24"/>
        </w:rPr>
        <w:t xml:space="preserve"> (por. </w:t>
      </w:r>
      <w:r w:rsidR="009C2ED1" w:rsidRPr="00005410">
        <w:rPr>
          <w:rFonts w:ascii="Times New Roman" w:hAnsi="Times New Roman" w:cs="Times New Roman"/>
          <w:sz w:val="24"/>
          <w:szCs w:val="24"/>
        </w:rPr>
        <w:t xml:space="preserve">także </w:t>
      </w:r>
      <w:r w:rsidR="003D2044" w:rsidRPr="00A613E2">
        <w:rPr>
          <w:rFonts w:ascii="Times New Roman" w:hAnsi="Times New Roman" w:cs="Times New Roman"/>
          <w:sz w:val="24"/>
          <w:szCs w:val="24"/>
        </w:rPr>
        <w:t>w</w:t>
      </w:r>
      <w:r w:rsidR="00466F16" w:rsidRPr="00A613E2">
        <w:rPr>
          <w:rFonts w:ascii="Times New Roman" w:hAnsi="Times New Roman" w:cs="Times New Roman"/>
          <w:sz w:val="24"/>
          <w:szCs w:val="24"/>
        </w:rPr>
        <w:t>y</w:t>
      </w:r>
      <w:r w:rsidR="009E143E" w:rsidRPr="00A613E2">
        <w:rPr>
          <w:rFonts w:ascii="Times New Roman" w:hAnsi="Times New Roman" w:cs="Times New Roman"/>
          <w:sz w:val="24"/>
          <w:szCs w:val="24"/>
        </w:rPr>
        <w:t xml:space="preserve">kres </w:t>
      </w:r>
      <w:r w:rsidR="00001C3E" w:rsidRPr="00A613E2">
        <w:rPr>
          <w:rFonts w:ascii="Times New Roman" w:hAnsi="Times New Roman" w:cs="Times New Roman"/>
          <w:sz w:val="24"/>
          <w:szCs w:val="24"/>
        </w:rPr>
        <w:t>6</w:t>
      </w:r>
      <w:r w:rsidR="00A613E2" w:rsidRPr="00A613E2">
        <w:rPr>
          <w:rFonts w:ascii="Times New Roman" w:hAnsi="Times New Roman" w:cs="Times New Roman"/>
          <w:sz w:val="24"/>
          <w:szCs w:val="24"/>
        </w:rPr>
        <w:t>.5</w:t>
      </w:r>
      <w:r w:rsidR="00846320" w:rsidRPr="00005410">
        <w:rPr>
          <w:rFonts w:ascii="Times New Roman" w:hAnsi="Times New Roman" w:cs="Times New Roman"/>
          <w:sz w:val="24"/>
          <w:szCs w:val="24"/>
        </w:rPr>
        <w:t xml:space="preserve"> dla udziałów w liczbie dojeżdżających ogółem</w:t>
      </w:r>
      <w:r w:rsidR="00466F16" w:rsidRPr="00005410">
        <w:rPr>
          <w:rFonts w:ascii="Times New Roman" w:hAnsi="Times New Roman" w:cs="Times New Roman"/>
          <w:sz w:val="24"/>
          <w:szCs w:val="24"/>
        </w:rPr>
        <w:t xml:space="preserve">). Rozkład </w:t>
      </w:r>
      <w:r w:rsidRPr="00005410">
        <w:rPr>
          <w:rFonts w:ascii="Times New Roman" w:hAnsi="Times New Roman" w:cs="Times New Roman"/>
          <w:sz w:val="24"/>
          <w:szCs w:val="24"/>
        </w:rPr>
        <w:t xml:space="preserve">tego </w:t>
      </w:r>
      <w:r w:rsidR="00E727BD" w:rsidRPr="00005410">
        <w:rPr>
          <w:rFonts w:ascii="Times New Roman" w:hAnsi="Times New Roman" w:cs="Times New Roman"/>
          <w:sz w:val="24"/>
          <w:szCs w:val="24"/>
        </w:rPr>
        <w:t xml:space="preserve">wskaźnika </w:t>
      </w:r>
      <w:r w:rsidRPr="00005410">
        <w:rPr>
          <w:rFonts w:ascii="Times New Roman" w:hAnsi="Times New Roman" w:cs="Times New Roman"/>
          <w:sz w:val="24"/>
          <w:szCs w:val="24"/>
        </w:rPr>
        <w:t>w wojewó</w:t>
      </w:r>
      <w:r w:rsidR="00466F16" w:rsidRPr="00005410">
        <w:rPr>
          <w:rFonts w:ascii="Times New Roman" w:hAnsi="Times New Roman" w:cs="Times New Roman"/>
          <w:sz w:val="24"/>
          <w:szCs w:val="24"/>
        </w:rPr>
        <w:t>dztw</w:t>
      </w:r>
      <w:r w:rsidR="006A5857" w:rsidRPr="00005410">
        <w:rPr>
          <w:rFonts w:ascii="Times New Roman" w:hAnsi="Times New Roman" w:cs="Times New Roman"/>
          <w:sz w:val="24"/>
          <w:szCs w:val="24"/>
        </w:rPr>
        <w:t>ach w poszczególnych kategoriach też</w:t>
      </w:r>
      <w:r w:rsidR="00466F16" w:rsidRPr="00005410">
        <w:rPr>
          <w:rFonts w:ascii="Times New Roman" w:hAnsi="Times New Roman" w:cs="Times New Roman"/>
          <w:sz w:val="24"/>
          <w:szCs w:val="24"/>
        </w:rPr>
        <w:t xml:space="preserve"> był racz</w:t>
      </w:r>
      <w:r w:rsidRPr="00005410">
        <w:rPr>
          <w:rFonts w:ascii="Times New Roman" w:hAnsi="Times New Roman" w:cs="Times New Roman"/>
          <w:sz w:val="24"/>
          <w:szCs w:val="24"/>
        </w:rPr>
        <w:t>ej równo</w:t>
      </w:r>
      <w:r w:rsidR="00466F16" w:rsidRPr="00005410">
        <w:rPr>
          <w:rFonts w:ascii="Times New Roman" w:hAnsi="Times New Roman" w:cs="Times New Roman"/>
          <w:sz w:val="24"/>
          <w:szCs w:val="24"/>
        </w:rPr>
        <w:t>mier</w:t>
      </w:r>
      <w:r w:rsidRPr="00005410">
        <w:rPr>
          <w:rFonts w:ascii="Times New Roman" w:hAnsi="Times New Roman" w:cs="Times New Roman"/>
          <w:sz w:val="24"/>
          <w:szCs w:val="24"/>
        </w:rPr>
        <w:t>n</w:t>
      </w:r>
      <w:r w:rsidR="009F1E75">
        <w:rPr>
          <w:rFonts w:ascii="Times New Roman" w:hAnsi="Times New Roman" w:cs="Times New Roman"/>
          <w:sz w:val="24"/>
          <w:szCs w:val="24"/>
        </w:rPr>
        <w:t>y i </w:t>
      </w:r>
      <w:r w:rsidR="00466F16" w:rsidRPr="00005410">
        <w:rPr>
          <w:rFonts w:ascii="Times New Roman" w:hAnsi="Times New Roman" w:cs="Times New Roman"/>
          <w:sz w:val="24"/>
          <w:szCs w:val="24"/>
        </w:rPr>
        <w:t>pod</w:t>
      </w:r>
      <w:r w:rsidRPr="00005410">
        <w:rPr>
          <w:rFonts w:ascii="Times New Roman" w:hAnsi="Times New Roman" w:cs="Times New Roman"/>
          <w:sz w:val="24"/>
          <w:szCs w:val="24"/>
        </w:rPr>
        <w:t>o</w:t>
      </w:r>
      <w:r w:rsidR="00466F16" w:rsidRPr="00005410">
        <w:rPr>
          <w:rFonts w:ascii="Times New Roman" w:hAnsi="Times New Roman" w:cs="Times New Roman"/>
          <w:sz w:val="24"/>
          <w:szCs w:val="24"/>
        </w:rPr>
        <w:t>bny, choć warto z</w:t>
      </w:r>
      <w:r w:rsidRPr="00005410">
        <w:rPr>
          <w:rFonts w:ascii="Times New Roman" w:hAnsi="Times New Roman" w:cs="Times New Roman"/>
          <w:sz w:val="24"/>
          <w:szCs w:val="24"/>
        </w:rPr>
        <w:t>a</w:t>
      </w:r>
      <w:r w:rsidR="00466F16" w:rsidRPr="00005410">
        <w:rPr>
          <w:rFonts w:ascii="Times New Roman" w:hAnsi="Times New Roman" w:cs="Times New Roman"/>
          <w:sz w:val="24"/>
          <w:szCs w:val="24"/>
        </w:rPr>
        <w:t>uwa</w:t>
      </w:r>
      <w:r w:rsidRPr="00005410">
        <w:rPr>
          <w:rFonts w:ascii="Times New Roman" w:hAnsi="Times New Roman" w:cs="Times New Roman"/>
          <w:sz w:val="24"/>
          <w:szCs w:val="24"/>
        </w:rPr>
        <w:t>żyć</w:t>
      </w:r>
      <w:r w:rsidR="00466F16" w:rsidRPr="00005410">
        <w:rPr>
          <w:rFonts w:ascii="Times New Roman" w:hAnsi="Times New Roman" w:cs="Times New Roman"/>
          <w:sz w:val="24"/>
          <w:szCs w:val="24"/>
        </w:rPr>
        <w:t xml:space="preserve"> np</w:t>
      </w:r>
      <w:r w:rsidRPr="00005410">
        <w:rPr>
          <w:rFonts w:ascii="Times New Roman" w:hAnsi="Times New Roman" w:cs="Times New Roman"/>
          <w:sz w:val="24"/>
          <w:szCs w:val="24"/>
        </w:rPr>
        <w:t>. szczegó</w:t>
      </w:r>
      <w:r w:rsidR="00466F16" w:rsidRPr="00005410">
        <w:rPr>
          <w:rFonts w:ascii="Times New Roman" w:hAnsi="Times New Roman" w:cs="Times New Roman"/>
          <w:sz w:val="24"/>
          <w:szCs w:val="24"/>
        </w:rPr>
        <w:t>l</w:t>
      </w:r>
      <w:r w:rsidRPr="00005410">
        <w:rPr>
          <w:rFonts w:ascii="Times New Roman" w:hAnsi="Times New Roman" w:cs="Times New Roman"/>
          <w:sz w:val="24"/>
          <w:szCs w:val="24"/>
        </w:rPr>
        <w:t>nie niską jego wartość</w:t>
      </w:r>
      <w:r w:rsidR="00466F16" w:rsidRPr="00005410">
        <w:rPr>
          <w:rFonts w:ascii="Times New Roman" w:hAnsi="Times New Roman" w:cs="Times New Roman"/>
          <w:sz w:val="24"/>
          <w:szCs w:val="24"/>
        </w:rPr>
        <w:t xml:space="preserve"> (</w:t>
      </w:r>
      <w:r w:rsidR="000B07C4" w:rsidRPr="00005410">
        <w:rPr>
          <w:rFonts w:ascii="Times New Roman" w:hAnsi="Times New Roman" w:cs="Times New Roman"/>
          <w:sz w:val="24"/>
          <w:szCs w:val="24"/>
        </w:rPr>
        <w:t>2</w:t>
      </w:r>
      <w:r w:rsidR="009070F2" w:rsidRPr="00005410">
        <w:rPr>
          <w:rFonts w:ascii="Times New Roman" w:hAnsi="Times New Roman" w:cs="Times New Roman"/>
          <w:sz w:val="24"/>
          <w:szCs w:val="24"/>
        </w:rPr>
        <w:t>3</w:t>
      </w:r>
      <w:r w:rsidR="00466F16" w:rsidRPr="00005410">
        <w:rPr>
          <w:rFonts w:ascii="Times New Roman" w:hAnsi="Times New Roman" w:cs="Times New Roman"/>
          <w:sz w:val="24"/>
          <w:szCs w:val="24"/>
        </w:rPr>
        <w:t xml:space="preserve">) </w:t>
      </w:r>
      <w:r w:rsidR="000B07C4" w:rsidRPr="00005410">
        <w:rPr>
          <w:rFonts w:ascii="Times New Roman" w:hAnsi="Times New Roman" w:cs="Times New Roman"/>
          <w:sz w:val="24"/>
          <w:szCs w:val="24"/>
        </w:rPr>
        <w:t>dla woj</w:t>
      </w:r>
      <w:r w:rsidRPr="00005410">
        <w:rPr>
          <w:rFonts w:ascii="Times New Roman" w:hAnsi="Times New Roman" w:cs="Times New Roman"/>
          <w:sz w:val="24"/>
          <w:szCs w:val="24"/>
        </w:rPr>
        <w:t>ewó</w:t>
      </w:r>
      <w:r w:rsidR="000B07C4" w:rsidRPr="00005410">
        <w:rPr>
          <w:rFonts w:ascii="Times New Roman" w:hAnsi="Times New Roman" w:cs="Times New Roman"/>
          <w:sz w:val="24"/>
          <w:szCs w:val="24"/>
        </w:rPr>
        <w:t>dz</w:t>
      </w:r>
      <w:r w:rsidRPr="00005410">
        <w:rPr>
          <w:rFonts w:ascii="Times New Roman" w:hAnsi="Times New Roman" w:cs="Times New Roman"/>
          <w:sz w:val="24"/>
          <w:szCs w:val="24"/>
        </w:rPr>
        <w:t>twa święt</w:t>
      </w:r>
      <w:r w:rsidR="000B07C4" w:rsidRPr="00005410">
        <w:rPr>
          <w:rFonts w:ascii="Times New Roman" w:hAnsi="Times New Roman" w:cs="Times New Roman"/>
          <w:sz w:val="24"/>
          <w:szCs w:val="24"/>
        </w:rPr>
        <w:t xml:space="preserve">okrzyskiego (51 i więcej km) </w:t>
      </w:r>
      <w:r w:rsidR="00466F16" w:rsidRPr="00005410">
        <w:rPr>
          <w:rFonts w:ascii="Times New Roman" w:hAnsi="Times New Roman" w:cs="Times New Roman"/>
          <w:sz w:val="24"/>
          <w:szCs w:val="24"/>
        </w:rPr>
        <w:t>oraz wyjątkowo wyso</w:t>
      </w:r>
      <w:r w:rsidR="000B07C4" w:rsidRPr="00005410">
        <w:rPr>
          <w:rFonts w:ascii="Times New Roman" w:hAnsi="Times New Roman" w:cs="Times New Roman"/>
          <w:sz w:val="24"/>
          <w:szCs w:val="24"/>
        </w:rPr>
        <w:t>ką (10</w:t>
      </w:r>
      <w:r w:rsidR="00617380" w:rsidRPr="00005410">
        <w:rPr>
          <w:rFonts w:ascii="Times New Roman" w:hAnsi="Times New Roman" w:cs="Times New Roman"/>
          <w:sz w:val="24"/>
          <w:szCs w:val="24"/>
        </w:rPr>
        <w:t>5</w:t>
      </w:r>
      <w:r w:rsidRPr="00005410">
        <w:rPr>
          <w:rFonts w:ascii="Times New Roman" w:hAnsi="Times New Roman" w:cs="Times New Roman"/>
          <w:sz w:val="24"/>
          <w:szCs w:val="24"/>
        </w:rPr>
        <w:t>) dla woje</w:t>
      </w:r>
      <w:r w:rsidR="00466F16" w:rsidRPr="00005410">
        <w:rPr>
          <w:rFonts w:ascii="Times New Roman" w:hAnsi="Times New Roman" w:cs="Times New Roman"/>
          <w:sz w:val="24"/>
          <w:szCs w:val="24"/>
        </w:rPr>
        <w:t>w</w:t>
      </w:r>
      <w:r w:rsidRPr="00005410">
        <w:rPr>
          <w:rFonts w:ascii="Times New Roman" w:hAnsi="Times New Roman" w:cs="Times New Roman"/>
          <w:sz w:val="24"/>
          <w:szCs w:val="24"/>
        </w:rPr>
        <w:t>ó</w:t>
      </w:r>
      <w:r w:rsidR="00466F16" w:rsidRPr="00005410">
        <w:rPr>
          <w:rFonts w:ascii="Times New Roman" w:hAnsi="Times New Roman" w:cs="Times New Roman"/>
          <w:sz w:val="24"/>
          <w:szCs w:val="24"/>
        </w:rPr>
        <w:t xml:space="preserve">dztwa </w:t>
      </w:r>
      <w:r w:rsidR="00D1140A">
        <w:rPr>
          <w:rFonts w:ascii="Times New Roman" w:hAnsi="Times New Roman" w:cs="Times New Roman"/>
          <w:sz w:val="24"/>
          <w:szCs w:val="24"/>
        </w:rPr>
        <w:t>m</w:t>
      </w:r>
      <w:r w:rsidR="00DE1EC4">
        <w:rPr>
          <w:rFonts w:ascii="Times New Roman" w:hAnsi="Times New Roman" w:cs="Times New Roman"/>
          <w:sz w:val="24"/>
          <w:szCs w:val="24"/>
        </w:rPr>
        <w:t>azo</w:t>
      </w:r>
      <w:r w:rsidR="000B07C4" w:rsidRPr="00005410">
        <w:rPr>
          <w:rFonts w:ascii="Times New Roman" w:hAnsi="Times New Roman" w:cs="Times New Roman"/>
          <w:sz w:val="24"/>
          <w:szCs w:val="24"/>
        </w:rPr>
        <w:t>wieckiego (</w:t>
      </w:r>
      <w:r w:rsidR="00E727BD" w:rsidRPr="00005410">
        <w:rPr>
          <w:rFonts w:ascii="Times New Roman" w:hAnsi="Times New Roman" w:cs="Times New Roman"/>
          <w:sz w:val="24"/>
          <w:szCs w:val="24"/>
        </w:rPr>
        <w:t>do</w:t>
      </w:r>
      <w:r w:rsidR="000B07C4" w:rsidRPr="00005410">
        <w:rPr>
          <w:rFonts w:ascii="Times New Roman" w:hAnsi="Times New Roman" w:cs="Times New Roman"/>
          <w:sz w:val="24"/>
          <w:szCs w:val="24"/>
        </w:rPr>
        <w:t xml:space="preserve"> 5 </w:t>
      </w:r>
      <w:r w:rsidR="00466F16" w:rsidRPr="00005410">
        <w:rPr>
          <w:rFonts w:ascii="Times New Roman" w:hAnsi="Times New Roman" w:cs="Times New Roman"/>
          <w:sz w:val="24"/>
          <w:szCs w:val="24"/>
        </w:rPr>
        <w:t>km).</w:t>
      </w:r>
    </w:p>
    <w:p w:rsidR="00CD0266" w:rsidRDefault="00CD0266" w:rsidP="00B671B3">
      <w:pPr>
        <w:keepNext/>
        <w:tabs>
          <w:tab w:val="left" w:pos="1134"/>
        </w:tabs>
        <w:spacing w:after="0"/>
        <w:jc w:val="both"/>
        <w:rPr>
          <w:rFonts w:ascii="Times New Roman" w:hAnsi="Times New Roman" w:cs="Times New Roman"/>
          <w:b/>
          <w:sz w:val="20"/>
          <w:szCs w:val="20"/>
        </w:rPr>
      </w:pPr>
    </w:p>
    <w:p w:rsidR="00CD0266" w:rsidRDefault="00CD0266" w:rsidP="00B671B3">
      <w:pPr>
        <w:keepNext/>
        <w:tabs>
          <w:tab w:val="left" w:pos="1134"/>
        </w:tabs>
        <w:spacing w:after="0"/>
        <w:jc w:val="both"/>
        <w:rPr>
          <w:rFonts w:ascii="Times New Roman" w:hAnsi="Times New Roman" w:cs="Times New Roman"/>
          <w:b/>
          <w:sz w:val="20"/>
          <w:szCs w:val="20"/>
        </w:rPr>
      </w:pPr>
    </w:p>
    <w:p w:rsidR="00CD0266" w:rsidRDefault="00CD0266" w:rsidP="00B671B3">
      <w:pPr>
        <w:keepNext/>
        <w:tabs>
          <w:tab w:val="left" w:pos="1134"/>
        </w:tabs>
        <w:spacing w:after="0"/>
        <w:jc w:val="both"/>
        <w:rPr>
          <w:rFonts w:ascii="Times New Roman" w:hAnsi="Times New Roman" w:cs="Times New Roman"/>
          <w:b/>
          <w:sz w:val="20"/>
          <w:szCs w:val="20"/>
        </w:rPr>
      </w:pPr>
    </w:p>
    <w:p w:rsidR="00CD0266" w:rsidRDefault="00CD0266" w:rsidP="00B671B3">
      <w:pPr>
        <w:keepNext/>
        <w:tabs>
          <w:tab w:val="left" w:pos="1134"/>
        </w:tabs>
        <w:spacing w:after="0"/>
        <w:jc w:val="both"/>
        <w:rPr>
          <w:rFonts w:ascii="Times New Roman" w:hAnsi="Times New Roman" w:cs="Times New Roman"/>
          <w:b/>
          <w:sz w:val="20"/>
          <w:szCs w:val="20"/>
        </w:rPr>
      </w:pPr>
    </w:p>
    <w:p w:rsidR="00CD0266" w:rsidRDefault="00CD0266" w:rsidP="00B671B3">
      <w:pPr>
        <w:keepNext/>
        <w:tabs>
          <w:tab w:val="left" w:pos="1134"/>
        </w:tabs>
        <w:spacing w:after="0"/>
        <w:jc w:val="both"/>
        <w:rPr>
          <w:rFonts w:ascii="Times New Roman" w:hAnsi="Times New Roman" w:cs="Times New Roman"/>
          <w:b/>
          <w:sz w:val="20"/>
          <w:szCs w:val="20"/>
        </w:rPr>
      </w:pPr>
    </w:p>
    <w:p w:rsidR="00CD0266" w:rsidRDefault="00CD0266" w:rsidP="00B671B3">
      <w:pPr>
        <w:keepNext/>
        <w:tabs>
          <w:tab w:val="left" w:pos="1134"/>
        </w:tabs>
        <w:spacing w:after="0"/>
        <w:jc w:val="both"/>
        <w:rPr>
          <w:rFonts w:ascii="Times New Roman" w:hAnsi="Times New Roman" w:cs="Times New Roman"/>
          <w:b/>
          <w:sz w:val="20"/>
          <w:szCs w:val="20"/>
        </w:rPr>
      </w:pPr>
    </w:p>
    <w:p w:rsidR="00CD0266" w:rsidRDefault="00CD0266" w:rsidP="00B671B3">
      <w:pPr>
        <w:keepNext/>
        <w:tabs>
          <w:tab w:val="left" w:pos="1134"/>
        </w:tabs>
        <w:spacing w:after="0"/>
        <w:jc w:val="both"/>
        <w:rPr>
          <w:rFonts w:ascii="Times New Roman" w:hAnsi="Times New Roman" w:cs="Times New Roman"/>
          <w:b/>
          <w:sz w:val="20"/>
          <w:szCs w:val="20"/>
        </w:rPr>
      </w:pPr>
    </w:p>
    <w:p w:rsidR="00CD0266" w:rsidRDefault="00CD0266" w:rsidP="00B671B3">
      <w:pPr>
        <w:keepNext/>
        <w:tabs>
          <w:tab w:val="left" w:pos="1134"/>
        </w:tabs>
        <w:spacing w:after="0"/>
        <w:jc w:val="both"/>
        <w:rPr>
          <w:rFonts w:ascii="Times New Roman" w:hAnsi="Times New Roman" w:cs="Times New Roman"/>
          <w:b/>
          <w:sz w:val="20"/>
          <w:szCs w:val="20"/>
        </w:rPr>
      </w:pPr>
    </w:p>
    <w:p w:rsidR="00CD0266" w:rsidRDefault="00CD0266" w:rsidP="00B671B3">
      <w:pPr>
        <w:keepNext/>
        <w:tabs>
          <w:tab w:val="left" w:pos="1134"/>
        </w:tabs>
        <w:spacing w:after="0"/>
        <w:jc w:val="both"/>
        <w:rPr>
          <w:rFonts w:ascii="Times New Roman" w:hAnsi="Times New Roman" w:cs="Times New Roman"/>
          <w:b/>
          <w:sz w:val="20"/>
          <w:szCs w:val="20"/>
        </w:rPr>
      </w:pPr>
    </w:p>
    <w:p w:rsidR="00610A6A" w:rsidRDefault="00610A6A" w:rsidP="00B671B3">
      <w:pPr>
        <w:keepNext/>
        <w:tabs>
          <w:tab w:val="left" w:pos="1134"/>
        </w:tabs>
        <w:spacing w:after="0"/>
        <w:jc w:val="both"/>
        <w:rPr>
          <w:rFonts w:ascii="Times New Roman" w:hAnsi="Times New Roman" w:cs="Times New Roman"/>
          <w:b/>
          <w:sz w:val="20"/>
          <w:szCs w:val="20"/>
        </w:rPr>
      </w:pPr>
    </w:p>
    <w:p w:rsidR="00B671B3" w:rsidRPr="00005410" w:rsidRDefault="009E143E" w:rsidP="00CD0266">
      <w:pPr>
        <w:keepNext/>
        <w:tabs>
          <w:tab w:val="left" w:pos="1134"/>
        </w:tabs>
        <w:spacing w:after="0"/>
        <w:jc w:val="both"/>
        <w:rPr>
          <w:rFonts w:ascii="Times New Roman" w:hAnsi="Times New Roman" w:cs="Times New Roman"/>
          <w:b/>
          <w:sz w:val="20"/>
          <w:szCs w:val="20"/>
        </w:rPr>
      </w:pPr>
      <w:r w:rsidRPr="00005410">
        <w:rPr>
          <w:rFonts w:ascii="Times New Roman" w:hAnsi="Times New Roman" w:cs="Times New Roman"/>
          <w:b/>
          <w:sz w:val="20"/>
          <w:szCs w:val="20"/>
        </w:rPr>
        <w:lastRenderedPageBreak/>
        <w:t xml:space="preserve">Wykres </w:t>
      </w:r>
      <w:r w:rsidR="00D55B40">
        <w:rPr>
          <w:rFonts w:ascii="Times New Roman" w:hAnsi="Times New Roman" w:cs="Times New Roman"/>
          <w:b/>
          <w:sz w:val="20"/>
          <w:szCs w:val="20"/>
        </w:rPr>
        <w:t>6</w:t>
      </w:r>
      <w:r w:rsidR="0029666D">
        <w:rPr>
          <w:rFonts w:ascii="Times New Roman" w:hAnsi="Times New Roman" w:cs="Times New Roman"/>
          <w:b/>
          <w:sz w:val="20"/>
          <w:szCs w:val="20"/>
        </w:rPr>
        <w:t>.5</w:t>
      </w:r>
      <w:r w:rsidR="00B74DB6" w:rsidRPr="00005410">
        <w:rPr>
          <w:rFonts w:ascii="Times New Roman" w:hAnsi="Times New Roman" w:cs="Times New Roman"/>
          <w:b/>
          <w:sz w:val="20"/>
          <w:szCs w:val="20"/>
        </w:rPr>
        <w:t>. Struktura dojeżdżających do p</w:t>
      </w:r>
      <w:r w:rsidR="00466F16" w:rsidRPr="00005410">
        <w:rPr>
          <w:rFonts w:ascii="Times New Roman" w:hAnsi="Times New Roman" w:cs="Times New Roman"/>
          <w:b/>
          <w:sz w:val="20"/>
          <w:szCs w:val="20"/>
        </w:rPr>
        <w:t>r</w:t>
      </w:r>
      <w:r w:rsidR="00B74DB6" w:rsidRPr="00005410">
        <w:rPr>
          <w:rFonts w:ascii="Times New Roman" w:hAnsi="Times New Roman" w:cs="Times New Roman"/>
          <w:b/>
          <w:sz w:val="20"/>
          <w:szCs w:val="20"/>
        </w:rPr>
        <w:t>a</w:t>
      </w:r>
      <w:r w:rsidR="00466F16" w:rsidRPr="00005410">
        <w:rPr>
          <w:rFonts w:ascii="Times New Roman" w:hAnsi="Times New Roman" w:cs="Times New Roman"/>
          <w:b/>
          <w:sz w:val="20"/>
          <w:szCs w:val="20"/>
        </w:rPr>
        <w:t xml:space="preserve">cy według </w:t>
      </w:r>
      <w:r w:rsidR="00B74DB6" w:rsidRPr="00005410">
        <w:rPr>
          <w:rFonts w:ascii="Times New Roman" w:hAnsi="Times New Roman" w:cs="Times New Roman"/>
          <w:b/>
          <w:sz w:val="20"/>
          <w:szCs w:val="20"/>
        </w:rPr>
        <w:t xml:space="preserve">odległości miejsca zamieszkania </w:t>
      </w:r>
    </w:p>
    <w:p w:rsidR="00466F16" w:rsidRPr="00005410" w:rsidRDefault="00B74DB6" w:rsidP="00CD0266">
      <w:pPr>
        <w:keepNext/>
        <w:spacing w:after="0"/>
        <w:ind w:left="709" w:firstLine="355"/>
        <w:jc w:val="both"/>
        <w:rPr>
          <w:rFonts w:ascii="Times New Roman" w:hAnsi="Times New Roman" w:cs="Times New Roman"/>
          <w:b/>
          <w:sz w:val="20"/>
          <w:szCs w:val="20"/>
        </w:rPr>
      </w:pPr>
      <w:r w:rsidRPr="00005410">
        <w:rPr>
          <w:rFonts w:ascii="Times New Roman" w:hAnsi="Times New Roman" w:cs="Times New Roman"/>
          <w:b/>
          <w:sz w:val="20"/>
          <w:szCs w:val="20"/>
        </w:rPr>
        <w:t>od głównego miejsca pracy</w:t>
      </w:r>
      <w:r w:rsidR="009E143E" w:rsidRPr="00005410">
        <w:rPr>
          <w:rFonts w:ascii="Times New Roman" w:hAnsi="Times New Roman" w:cs="Times New Roman"/>
          <w:b/>
          <w:sz w:val="20"/>
          <w:szCs w:val="20"/>
        </w:rPr>
        <w:t xml:space="preserve"> i płci (w %)</w:t>
      </w:r>
    </w:p>
    <w:p w:rsidR="00466F16" w:rsidRPr="0024503A" w:rsidRDefault="009601FC" w:rsidP="00ED4CA3">
      <w:pPr>
        <w:keepNext/>
        <w:spacing w:after="100"/>
        <w:jc w:val="both"/>
        <w:rPr>
          <w:rFonts w:asciiTheme="majorHAnsi" w:hAnsiTheme="majorHAnsi"/>
        </w:rPr>
      </w:pPr>
      <w:r w:rsidRPr="00D41159">
        <w:rPr>
          <w:noProof/>
          <w:lang w:eastAsia="pl-PL"/>
        </w:rPr>
        <w:drawing>
          <wp:inline distT="0" distB="0" distL="0" distR="0">
            <wp:extent cx="5486400" cy="2762250"/>
            <wp:effectExtent l="19050" t="0" r="0" b="0"/>
            <wp:docPr id="2" name="Wykres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1F66DB" w:rsidRPr="00CD0266" w:rsidRDefault="009A7AAB" w:rsidP="00CD0266">
      <w:pPr>
        <w:pStyle w:val="tekstgl"/>
        <w:spacing w:after="0" w:line="360" w:lineRule="auto"/>
        <w:ind w:firstLine="709"/>
        <w:rPr>
          <w:rFonts w:ascii="Times New Roman" w:hAnsi="Times New Roman" w:cs="Times New Roman"/>
          <w:sz w:val="24"/>
          <w:szCs w:val="24"/>
        </w:rPr>
      </w:pPr>
      <w:r w:rsidRPr="00CD0266">
        <w:rPr>
          <w:rFonts w:ascii="Times New Roman" w:hAnsi="Times New Roman" w:cs="Times New Roman"/>
          <w:sz w:val="24"/>
          <w:szCs w:val="24"/>
        </w:rPr>
        <w:t xml:space="preserve">Jak </w:t>
      </w:r>
      <w:r w:rsidR="00836984" w:rsidRPr="00CD0266">
        <w:rPr>
          <w:rFonts w:ascii="Times New Roman" w:hAnsi="Times New Roman" w:cs="Times New Roman"/>
          <w:sz w:val="24"/>
          <w:szCs w:val="24"/>
        </w:rPr>
        <w:t>wspomniano</w:t>
      </w:r>
      <w:r w:rsidRPr="00CD0266">
        <w:rPr>
          <w:rFonts w:ascii="Times New Roman" w:hAnsi="Times New Roman" w:cs="Times New Roman"/>
          <w:sz w:val="24"/>
          <w:szCs w:val="24"/>
        </w:rPr>
        <w:t xml:space="preserve"> na </w:t>
      </w:r>
      <w:r w:rsidR="00DF26B6" w:rsidRPr="00CD0266">
        <w:rPr>
          <w:rFonts w:ascii="Times New Roman" w:hAnsi="Times New Roman" w:cs="Times New Roman"/>
          <w:sz w:val="24"/>
          <w:szCs w:val="24"/>
        </w:rPr>
        <w:t xml:space="preserve">wstępie tego podrozdziału, charakter rozpatrywanej zmiennej powoduje, że można </w:t>
      </w:r>
      <w:r w:rsidR="00B174E1" w:rsidRPr="00CD0266">
        <w:rPr>
          <w:rFonts w:ascii="Times New Roman" w:hAnsi="Times New Roman" w:cs="Times New Roman"/>
          <w:sz w:val="24"/>
          <w:szCs w:val="24"/>
        </w:rPr>
        <w:t>w tym przypadku</w:t>
      </w:r>
      <w:r w:rsidR="00DF26B6" w:rsidRPr="00CD0266">
        <w:rPr>
          <w:rFonts w:ascii="Times New Roman" w:hAnsi="Times New Roman" w:cs="Times New Roman"/>
          <w:sz w:val="24"/>
          <w:szCs w:val="24"/>
        </w:rPr>
        <w:t xml:space="preserve"> </w:t>
      </w:r>
      <w:r w:rsidR="00B174E1" w:rsidRPr="00CD0266">
        <w:rPr>
          <w:rFonts w:ascii="Times New Roman" w:hAnsi="Times New Roman" w:cs="Times New Roman"/>
          <w:sz w:val="24"/>
          <w:szCs w:val="24"/>
        </w:rPr>
        <w:t xml:space="preserve">wyznaczyć </w:t>
      </w:r>
      <w:r w:rsidR="001F66DB" w:rsidRPr="00CD0266">
        <w:rPr>
          <w:rFonts w:ascii="Times New Roman" w:hAnsi="Times New Roman" w:cs="Times New Roman"/>
          <w:sz w:val="24"/>
          <w:szCs w:val="24"/>
        </w:rPr>
        <w:t xml:space="preserve">taką </w:t>
      </w:r>
      <w:r w:rsidRPr="00CD0266">
        <w:rPr>
          <w:rFonts w:ascii="Times New Roman" w:hAnsi="Times New Roman" w:cs="Times New Roman"/>
          <w:sz w:val="24"/>
          <w:szCs w:val="24"/>
        </w:rPr>
        <w:t>podst</w:t>
      </w:r>
      <w:r w:rsidR="00B174E1" w:rsidRPr="00CD0266">
        <w:rPr>
          <w:rFonts w:ascii="Times New Roman" w:hAnsi="Times New Roman" w:cs="Times New Roman"/>
          <w:sz w:val="24"/>
          <w:szCs w:val="24"/>
        </w:rPr>
        <w:t>awow</w:t>
      </w:r>
      <w:r w:rsidR="001F66DB" w:rsidRPr="00CD0266">
        <w:rPr>
          <w:rFonts w:ascii="Times New Roman" w:hAnsi="Times New Roman" w:cs="Times New Roman"/>
          <w:sz w:val="24"/>
          <w:szCs w:val="24"/>
        </w:rPr>
        <w:t>ą</w:t>
      </w:r>
      <w:r w:rsidRPr="00CD0266">
        <w:rPr>
          <w:rFonts w:ascii="Times New Roman" w:hAnsi="Times New Roman" w:cs="Times New Roman"/>
          <w:sz w:val="24"/>
          <w:szCs w:val="24"/>
        </w:rPr>
        <w:t xml:space="preserve"> staty</w:t>
      </w:r>
      <w:r w:rsidR="00166AFB" w:rsidRPr="00CD0266">
        <w:rPr>
          <w:rFonts w:ascii="Times New Roman" w:hAnsi="Times New Roman" w:cs="Times New Roman"/>
          <w:sz w:val="24"/>
          <w:szCs w:val="24"/>
        </w:rPr>
        <w:t>sty</w:t>
      </w:r>
      <w:r w:rsidR="00B174E1" w:rsidRPr="00CD0266">
        <w:rPr>
          <w:rFonts w:ascii="Times New Roman" w:hAnsi="Times New Roman" w:cs="Times New Roman"/>
          <w:sz w:val="24"/>
          <w:szCs w:val="24"/>
        </w:rPr>
        <w:t>k</w:t>
      </w:r>
      <w:r w:rsidR="001F66DB" w:rsidRPr="00CD0266">
        <w:rPr>
          <w:rFonts w:ascii="Times New Roman" w:hAnsi="Times New Roman" w:cs="Times New Roman"/>
          <w:sz w:val="24"/>
          <w:szCs w:val="24"/>
        </w:rPr>
        <w:t>ę opisową jak przeciętna odległość dojazdu do pracy.</w:t>
      </w:r>
      <w:r w:rsidR="00B174E1" w:rsidRPr="00CD0266">
        <w:rPr>
          <w:rFonts w:ascii="Times New Roman" w:hAnsi="Times New Roman" w:cs="Times New Roman"/>
          <w:sz w:val="24"/>
          <w:szCs w:val="24"/>
        </w:rPr>
        <w:t xml:space="preserve"> </w:t>
      </w:r>
      <w:r w:rsidR="00610A6A">
        <w:rPr>
          <w:rFonts w:ascii="Times New Roman" w:hAnsi="Times New Roman" w:cs="Times New Roman"/>
          <w:sz w:val="24"/>
          <w:szCs w:val="24"/>
        </w:rPr>
        <w:t>Poniżej przedstawiono z</w:t>
      </w:r>
      <w:r w:rsidR="001F66DB" w:rsidRPr="00CD0266">
        <w:rPr>
          <w:rFonts w:ascii="Times New Roman" w:hAnsi="Times New Roman" w:cs="Times New Roman"/>
          <w:sz w:val="24"/>
          <w:szCs w:val="24"/>
        </w:rPr>
        <w:t>różnicowanie tej wielkości</w:t>
      </w:r>
      <w:r w:rsidR="00DF26B6" w:rsidRPr="00CD0266">
        <w:rPr>
          <w:rFonts w:ascii="Times New Roman" w:hAnsi="Times New Roman" w:cs="Times New Roman"/>
          <w:sz w:val="24"/>
          <w:szCs w:val="24"/>
        </w:rPr>
        <w:t xml:space="preserve"> według województw</w:t>
      </w:r>
      <w:r w:rsidR="001F66DB" w:rsidRPr="00CD0266">
        <w:rPr>
          <w:rFonts w:ascii="Times New Roman" w:hAnsi="Times New Roman" w:cs="Times New Roman"/>
          <w:sz w:val="24"/>
          <w:szCs w:val="24"/>
        </w:rPr>
        <w:t>.</w:t>
      </w:r>
    </w:p>
    <w:p w:rsidR="00ED0E41" w:rsidRPr="00005410" w:rsidRDefault="00E33812" w:rsidP="00CD0266">
      <w:pPr>
        <w:keepNext/>
        <w:spacing w:after="0"/>
        <w:jc w:val="both"/>
        <w:rPr>
          <w:rFonts w:ascii="Times New Roman" w:hAnsi="Times New Roman" w:cs="Times New Roman"/>
          <w:b/>
          <w:sz w:val="20"/>
          <w:szCs w:val="20"/>
        </w:rPr>
      </w:pPr>
      <w:r w:rsidRPr="00005410">
        <w:rPr>
          <w:rFonts w:ascii="Times New Roman" w:hAnsi="Times New Roman" w:cs="Times New Roman"/>
          <w:b/>
          <w:sz w:val="20"/>
          <w:szCs w:val="20"/>
        </w:rPr>
        <w:t xml:space="preserve">Wykres </w:t>
      </w:r>
      <w:r w:rsidR="00D55B40">
        <w:rPr>
          <w:rFonts w:ascii="Times New Roman" w:hAnsi="Times New Roman" w:cs="Times New Roman"/>
          <w:b/>
          <w:sz w:val="20"/>
          <w:szCs w:val="20"/>
        </w:rPr>
        <w:t>6</w:t>
      </w:r>
      <w:r w:rsidR="0029666D">
        <w:rPr>
          <w:rFonts w:ascii="Times New Roman" w:hAnsi="Times New Roman" w:cs="Times New Roman"/>
          <w:b/>
          <w:sz w:val="20"/>
          <w:szCs w:val="20"/>
        </w:rPr>
        <w:t>.6</w:t>
      </w:r>
      <w:r w:rsidR="00ED0E41" w:rsidRPr="00005410">
        <w:rPr>
          <w:rFonts w:ascii="Times New Roman" w:hAnsi="Times New Roman" w:cs="Times New Roman"/>
          <w:b/>
          <w:sz w:val="20"/>
          <w:szCs w:val="20"/>
        </w:rPr>
        <w:t xml:space="preserve">. </w:t>
      </w:r>
      <w:r w:rsidR="00280D18" w:rsidRPr="00005410">
        <w:rPr>
          <w:rFonts w:ascii="Times New Roman" w:hAnsi="Times New Roman" w:cs="Times New Roman"/>
          <w:b/>
          <w:sz w:val="20"/>
          <w:szCs w:val="20"/>
        </w:rPr>
        <w:t>Przeciętna</w:t>
      </w:r>
      <w:r w:rsidR="00ED0E41" w:rsidRPr="00005410">
        <w:rPr>
          <w:rFonts w:ascii="Times New Roman" w:hAnsi="Times New Roman" w:cs="Times New Roman"/>
          <w:b/>
          <w:sz w:val="20"/>
          <w:szCs w:val="20"/>
        </w:rPr>
        <w:t xml:space="preserve"> odległoś</w:t>
      </w:r>
      <w:r w:rsidR="00957571" w:rsidRPr="00005410">
        <w:rPr>
          <w:rFonts w:ascii="Times New Roman" w:hAnsi="Times New Roman" w:cs="Times New Roman"/>
          <w:b/>
          <w:sz w:val="20"/>
          <w:szCs w:val="20"/>
        </w:rPr>
        <w:t>ć</w:t>
      </w:r>
      <w:r w:rsidR="00ED0E41" w:rsidRPr="00005410">
        <w:rPr>
          <w:rFonts w:ascii="Times New Roman" w:hAnsi="Times New Roman" w:cs="Times New Roman"/>
          <w:b/>
          <w:sz w:val="20"/>
          <w:szCs w:val="20"/>
        </w:rPr>
        <w:t xml:space="preserve"> dojazdu do pr</w:t>
      </w:r>
      <w:r w:rsidR="00957571" w:rsidRPr="00005410">
        <w:rPr>
          <w:rFonts w:ascii="Times New Roman" w:hAnsi="Times New Roman" w:cs="Times New Roman"/>
          <w:b/>
          <w:sz w:val="20"/>
          <w:szCs w:val="20"/>
        </w:rPr>
        <w:t>a</w:t>
      </w:r>
      <w:r w:rsidR="00ED0E41" w:rsidRPr="00005410">
        <w:rPr>
          <w:rFonts w:ascii="Times New Roman" w:hAnsi="Times New Roman" w:cs="Times New Roman"/>
          <w:b/>
          <w:sz w:val="20"/>
          <w:szCs w:val="20"/>
        </w:rPr>
        <w:t>c</w:t>
      </w:r>
      <w:r w:rsidR="00957571" w:rsidRPr="00005410">
        <w:rPr>
          <w:rFonts w:ascii="Times New Roman" w:hAnsi="Times New Roman" w:cs="Times New Roman"/>
          <w:b/>
          <w:sz w:val="20"/>
          <w:szCs w:val="20"/>
        </w:rPr>
        <w:t>y</w:t>
      </w:r>
      <w:r w:rsidR="00ED0E41" w:rsidRPr="00005410">
        <w:rPr>
          <w:rFonts w:ascii="Times New Roman" w:hAnsi="Times New Roman" w:cs="Times New Roman"/>
          <w:b/>
          <w:sz w:val="20"/>
          <w:szCs w:val="20"/>
        </w:rPr>
        <w:t xml:space="preserve"> </w:t>
      </w:r>
      <w:r w:rsidR="00C52C9E" w:rsidRPr="00005410">
        <w:rPr>
          <w:rFonts w:ascii="Times New Roman" w:hAnsi="Times New Roman" w:cs="Times New Roman"/>
          <w:b/>
          <w:sz w:val="20"/>
          <w:szCs w:val="20"/>
        </w:rPr>
        <w:t>według płci i województw (w km)</w:t>
      </w:r>
    </w:p>
    <w:p w:rsidR="008B6E7C" w:rsidRPr="0024503A" w:rsidRDefault="009601FC" w:rsidP="00ED4CA3">
      <w:pPr>
        <w:keepNext/>
        <w:spacing w:before="100" w:after="100"/>
        <w:jc w:val="both"/>
        <w:rPr>
          <w:rFonts w:asciiTheme="majorHAnsi" w:hAnsiTheme="majorHAnsi"/>
        </w:rPr>
      </w:pPr>
      <w:r w:rsidRPr="00D41159">
        <w:rPr>
          <w:noProof/>
          <w:lang w:eastAsia="pl-PL"/>
        </w:rPr>
        <w:drawing>
          <wp:inline distT="0" distB="0" distL="0" distR="0">
            <wp:extent cx="5495925" cy="4343400"/>
            <wp:effectExtent l="0" t="0" r="0" b="0"/>
            <wp:docPr id="5" name="Wykres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1F66DB" w:rsidRPr="006A2F2C" w:rsidRDefault="001F66DB" w:rsidP="006A2F2C">
      <w:pPr>
        <w:pStyle w:val="tekstgl"/>
        <w:spacing w:after="0" w:line="360" w:lineRule="auto"/>
        <w:ind w:firstLine="709"/>
        <w:rPr>
          <w:rFonts w:ascii="Times New Roman" w:hAnsi="Times New Roman" w:cs="Times New Roman"/>
          <w:sz w:val="24"/>
          <w:szCs w:val="24"/>
        </w:rPr>
      </w:pPr>
      <w:r w:rsidRPr="006A2F2C">
        <w:rPr>
          <w:rFonts w:ascii="Times New Roman" w:hAnsi="Times New Roman" w:cs="Times New Roman"/>
          <w:sz w:val="24"/>
          <w:szCs w:val="24"/>
        </w:rPr>
        <w:lastRenderedPageBreak/>
        <w:t>Dojeżdżający do pracy pokonuje pr</w:t>
      </w:r>
      <w:r w:rsidR="005A0D57" w:rsidRPr="006A2F2C">
        <w:rPr>
          <w:rFonts w:ascii="Times New Roman" w:hAnsi="Times New Roman" w:cs="Times New Roman"/>
          <w:sz w:val="24"/>
          <w:szCs w:val="24"/>
        </w:rPr>
        <w:t xml:space="preserve">zeciętnie 17,4 </w:t>
      </w:r>
      <w:proofErr w:type="spellStart"/>
      <w:r w:rsidR="005A0D57" w:rsidRPr="006A2F2C">
        <w:rPr>
          <w:rFonts w:ascii="Times New Roman" w:hAnsi="Times New Roman" w:cs="Times New Roman"/>
          <w:sz w:val="24"/>
          <w:szCs w:val="24"/>
        </w:rPr>
        <w:t>km</w:t>
      </w:r>
      <w:proofErr w:type="spellEnd"/>
      <w:r w:rsidR="005A0D57" w:rsidRPr="006A2F2C">
        <w:rPr>
          <w:rFonts w:ascii="Times New Roman" w:hAnsi="Times New Roman" w:cs="Times New Roman"/>
          <w:sz w:val="24"/>
          <w:szCs w:val="24"/>
        </w:rPr>
        <w:t xml:space="preserve">. Przeciętne odległości pokonywane podczas dojazdu do pracy w poszczególnych województwach </w:t>
      </w:r>
      <w:r w:rsidRPr="006A2F2C">
        <w:rPr>
          <w:rFonts w:ascii="Times New Roman" w:hAnsi="Times New Roman" w:cs="Times New Roman"/>
          <w:sz w:val="24"/>
          <w:szCs w:val="24"/>
        </w:rPr>
        <w:t>są do siebie zbliżone, może jedynie z wyjątkiem województw: podlaskiego i śląsk</w:t>
      </w:r>
      <w:r w:rsidR="006A2F2C">
        <w:rPr>
          <w:rFonts w:ascii="Times New Roman" w:hAnsi="Times New Roman" w:cs="Times New Roman"/>
          <w:sz w:val="24"/>
          <w:szCs w:val="24"/>
        </w:rPr>
        <w:t xml:space="preserve">iego, gdzie </w:t>
      </w:r>
      <w:proofErr w:type="spellStart"/>
      <w:r w:rsidR="006A2F2C">
        <w:rPr>
          <w:rFonts w:ascii="Times New Roman" w:hAnsi="Times New Roman" w:cs="Times New Roman"/>
          <w:sz w:val="24"/>
          <w:szCs w:val="24"/>
        </w:rPr>
        <w:t>nie</w:t>
      </w:r>
      <w:proofErr w:type="spellEnd"/>
      <w:r w:rsidR="006A2F2C">
        <w:rPr>
          <w:rFonts w:ascii="Times New Roman" w:hAnsi="Times New Roman" w:cs="Times New Roman"/>
          <w:sz w:val="24"/>
          <w:szCs w:val="24"/>
        </w:rPr>
        <w:t xml:space="preserve"> przekraczają 15 </w:t>
      </w:r>
      <w:proofErr w:type="spellStart"/>
      <w:r w:rsidRPr="006A2F2C">
        <w:rPr>
          <w:rFonts w:ascii="Times New Roman" w:hAnsi="Times New Roman" w:cs="Times New Roman"/>
          <w:sz w:val="24"/>
          <w:szCs w:val="24"/>
        </w:rPr>
        <w:t>km</w:t>
      </w:r>
      <w:proofErr w:type="spellEnd"/>
      <w:r w:rsidRPr="006A2F2C">
        <w:rPr>
          <w:rFonts w:ascii="Times New Roman" w:hAnsi="Times New Roman" w:cs="Times New Roman"/>
          <w:sz w:val="24"/>
          <w:szCs w:val="24"/>
        </w:rPr>
        <w:t xml:space="preserve">. </w:t>
      </w:r>
      <w:r w:rsidR="00C15D41" w:rsidRPr="006A2F2C">
        <w:rPr>
          <w:rFonts w:ascii="Times New Roman" w:hAnsi="Times New Roman" w:cs="Times New Roman"/>
          <w:sz w:val="24"/>
          <w:szCs w:val="24"/>
        </w:rPr>
        <w:t xml:space="preserve">Dokładniejsza analiza </w:t>
      </w:r>
      <w:r w:rsidRPr="006A2F2C">
        <w:rPr>
          <w:rFonts w:ascii="Times New Roman" w:hAnsi="Times New Roman" w:cs="Times New Roman"/>
          <w:sz w:val="24"/>
          <w:szCs w:val="24"/>
        </w:rPr>
        <w:t>wska</w:t>
      </w:r>
      <w:r w:rsidR="00C15D41" w:rsidRPr="006A2F2C">
        <w:rPr>
          <w:rFonts w:ascii="Times New Roman" w:hAnsi="Times New Roman" w:cs="Times New Roman"/>
          <w:sz w:val="24"/>
          <w:szCs w:val="24"/>
        </w:rPr>
        <w:t>zuje</w:t>
      </w:r>
      <w:r w:rsidRPr="006A2F2C">
        <w:rPr>
          <w:rFonts w:ascii="Times New Roman" w:hAnsi="Times New Roman" w:cs="Times New Roman"/>
          <w:sz w:val="24"/>
          <w:szCs w:val="24"/>
        </w:rPr>
        <w:t xml:space="preserve"> na występowanie stosunkowo nielicznych przypadków dojazdów do pracy na bardzo duże odle</w:t>
      </w:r>
      <w:r w:rsidR="005A0D57" w:rsidRPr="006A2F2C">
        <w:rPr>
          <w:rFonts w:ascii="Times New Roman" w:hAnsi="Times New Roman" w:cs="Times New Roman"/>
          <w:sz w:val="24"/>
          <w:szCs w:val="24"/>
        </w:rPr>
        <w:t>głości.</w:t>
      </w:r>
      <w:r w:rsidR="00CB06C0" w:rsidRPr="006A2F2C">
        <w:rPr>
          <w:rFonts w:ascii="Times New Roman" w:hAnsi="Times New Roman" w:cs="Times New Roman"/>
          <w:sz w:val="24"/>
          <w:szCs w:val="24"/>
        </w:rPr>
        <w:t xml:space="preserve"> Potwierdza to fakt, że w województwach maksymalna odległość jaką pokonuje 75% dojeżdżających do pracy wynosi od 15 km (województwo podlaskie) do 20</w:t>
      </w:r>
      <w:r w:rsidR="00C37C45" w:rsidRPr="006A2F2C">
        <w:rPr>
          <w:rFonts w:ascii="Times New Roman" w:hAnsi="Times New Roman" w:cs="Times New Roman"/>
          <w:sz w:val="24"/>
          <w:szCs w:val="24"/>
        </w:rPr>
        <w:t xml:space="preserve"> </w:t>
      </w:r>
      <w:r w:rsidR="00CB06C0" w:rsidRPr="006A2F2C">
        <w:rPr>
          <w:rFonts w:ascii="Times New Roman" w:hAnsi="Times New Roman" w:cs="Times New Roman"/>
          <w:sz w:val="24"/>
          <w:szCs w:val="24"/>
        </w:rPr>
        <w:t>km (województwa: lubelskie</w:t>
      </w:r>
      <w:r w:rsidR="00FE2226" w:rsidRPr="006A2F2C">
        <w:rPr>
          <w:rFonts w:ascii="Times New Roman" w:hAnsi="Times New Roman" w:cs="Times New Roman"/>
          <w:sz w:val="24"/>
          <w:szCs w:val="24"/>
        </w:rPr>
        <w:t xml:space="preserve">, </w:t>
      </w:r>
      <w:r w:rsidR="00CB06C0" w:rsidRPr="006A2F2C">
        <w:rPr>
          <w:rFonts w:ascii="Times New Roman" w:hAnsi="Times New Roman" w:cs="Times New Roman"/>
          <w:sz w:val="24"/>
          <w:szCs w:val="24"/>
        </w:rPr>
        <w:t>małopolskie, mazowieckie, opolskie, pomorskie i świętokrzyskie).</w:t>
      </w:r>
    </w:p>
    <w:p w:rsidR="00076DAC" w:rsidRPr="006A2F2C" w:rsidRDefault="00F54792" w:rsidP="006A2F2C">
      <w:pPr>
        <w:pStyle w:val="tekstgl"/>
        <w:spacing w:after="0" w:line="360" w:lineRule="auto"/>
        <w:ind w:firstLine="709"/>
        <w:rPr>
          <w:rFonts w:ascii="Times New Roman" w:hAnsi="Times New Roman" w:cs="Times New Roman"/>
          <w:sz w:val="24"/>
          <w:szCs w:val="24"/>
        </w:rPr>
      </w:pPr>
      <w:r w:rsidRPr="006A2F2C">
        <w:rPr>
          <w:rFonts w:ascii="Times New Roman" w:hAnsi="Times New Roman" w:cs="Times New Roman"/>
          <w:sz w:val="24"/>
          <w:szCs w:val="24"/>
        </w:rPr>
        <w:t>W</w:t>
      </w:r>
      <w:r w:rsidR="008B6E7C" w:rsidRPr="006A2F2C">
        <w:rPr>
          <w:rFonts w:ascii="Times New Roman" w:hAnsi="Times New Roman" w:cs="Times New Roman"/>
          <w:sz w:val="24"/>
          <w:szCs w:val="24"/>
        </w:rPr>
        <w:t xml:space="preserve"> drodze do pracy mężczyź</w:t>
      </w:r>
      <w:r w:rsidR="00AB69BF" w:rsidRPr="006A2F2C">
        <w:rPr>
          <w:rFonts w:ascii="Times New Roman" w:hAnsi="Times New Roman" w:cs="Times New Roman"/>
          <w:sz w:val="24"/>
          <w:szCs w:val="24"/>
        </w:rPr>
        <w:t xml:space="preserve">ni </w:t>
      </w:r>
      <w:r w:rsidR="005E0C32" w:rsidRPr="006A2F2C">
        <w:rPr>
          <w:rFonts w:ascii="Times New Roman" w:hAnsi="Times New Roman" w:cs="Times New Roman"/>
          <w:sz w:val="24"/>
          <w:szCs w:val="24"/>
        </w:rPr>
        <w:t xml:space="preserve">pokonują </w:t>
      </w:r>
      <w:r w:rsidR="008B6E7C" w:rsidRPr="006A2F2C">
        <w:rPr>
          <w:rFonts w:ascii="Times New Roman" w:hAnsi="Times New Roman" w:cs="Times New Roman"/>
          <w:sz w:val="24"/>
          <w:szCs w:val="24"/>
        </w:rPr>
        <w:t xml:space="preserve"> p</w:t>
      </w:r>
      <w:r w:rsidR="00AB69BF" w:rsidRPr="006A2F2C">
        <w:rPr>
          <w:rFonts w:ascii="Times New Roman" w:hAnsi="Times New Roman" w:cs="Times New Roman"/>
          <w:sz w:val="24"/>
          <w:szCs w:val="24"/>
        </w:rPr>
        <w:t>r</w:t>
      </w:r>
      <w:r w:rsidR="008B6E7C" w:rsidRPr="006A2F2C">
        <w:rPr>
          <w:rFonts w:ascii="Times New Roman" w:hAnsi="Times New Roman" w:cs="Times New Roman"/>
          <w:sz w:val="24"/>
          <w:szCs w:val="24"/>
        </w:rPr>
        <w:t>zecię</w:t>
      </w:r>
      <w:r w:rsidR="00335A4B" w:rsidRPr="006A2F2C">
        <w:rPr>
          <w:rFonts w:ascii="Times New Roman" w:hAnsi="Times New Roman" w:cs="Times New Roman"/>
          <w:sz w:val="24"/>
          <w:szCs w:val="24"/>
        </w:rPr>
        <w:t xml:space="preserve">tnie o </w:t>
      </w:r>
      <w:r w:rsidR="00004FE3" w:rsidRPr="006A2F2C">
        <w:rPr>
          <w:rFonts w:ascii="Times New Roman" w:hAnsi="Times New Roman" w:cs="Times New Roman"/>
          <w:sz w:val="24"/>
          <w:szCs w:val="24"/>
        </w:rPr>
        <w:t>6</w:t>
      </w:r>
      <w:r w:rsidR="005D2ACF" w:rsidRPr="006A2F2C">
        <w:rPr>
          <w:rFonts w:ascii="Times New Roman" w:hAnsi="Times New Roman" w:cs="Times New Roman"/>
          <w:sz w:val="24"/>
          <w:szCs w:val="24"/>
        </w:rPr>
        <w:t>,</w:t>
      </w:r>
      <w:r w:rsidR="00C55CE8" w:rsidRPr="006A2F2C">
        <w:rPr>
          <w:rFonts w:ascii="Times New Roman" w:hAnsi="Times New Roman" w:cs="Times New Roman"/>
          <w:sz w:val="24"/>
          <w:szCs w:val="24"/>
        </w:rPr>
        <w:t xml:space="preserve">2 </w:t>
      </w:r>
      <w:r w:rsidR="00033CCC" w:rsidRPr="006A2F2C">
        <w:rPr>
          <w:rFonts w:ascii="Times New Roman" w:hAnsi="Times New Roman" w:cs="Times New Roman"/>
          <w:sz w:val="24"/>
          <w:szCs w:val="24"/>
        </w:rPr>
        <w:t xml:space="preserve">km więcej niż </w:t>
      </w:r>
      <w:r w:rsidR="00AB69BF" w:rsidRPr="006A2F2C">
        <w:rPr>
          <w:rFonts w:ascii="Times New Roman" w:hAnsi="Times New Roman" w:cs="Times New Roman"/>
          <w:sz w:val="24"/>
          <w:szCs w:val="24"/>
        </w:rPr>
        <w:t>kobiety. Szczególnie</w:t>
      </w:r>
      <w:r w:rsidR="008B6E7C" w:rsidRPr="006A2F2C">
        <w:rPr>
          <w:rFonts w:ascii="Times New Roman" w:hAnsi="Times New Roman" w:cs="Times New Roman"/>
          <w:sz w:val="24"/>
          <w:szCs w:val="24"/>
        </w:rPr>
        <w:t xml:space="preserve"> wi</w:t>
      </w:r>
      <w:r w:rsidR="00AB69BF" w:rsidRPr="006A2F2C">
        <w:rPr>
          <w:rFonts w:ascii="Times New Roman" w:hAnsi="Times New Roman" w:cs="Times New Roman"/>
          <w:sz w:val="24"/>
          <w:szCs w:val="24"/>
        </w:rPr>
        <w:t>doczne jest to np</w:t>
      </w:r>
      <w:r w:rsidR="008B6E7C" w:rsidRPr="006A2F2C">
        <w:rPr>
          <w:rFonts w:ascii="Times New Roman" w:hAnsi="Times New Roman" w:cs="Times New Roman"/>
          <w:sz w:val="24"/>
          <w:szCs w:val="24"/>
        </w:rPr>
        <w:t>. w województwie święt</w:t>
      </w:r>
      <w:r w:rsidR="00AB69BF" w:rsidRPr="006A2F2C">
        <w:rPr>
          <w:rFonts w:ascii="Times New Roman" w:hAnsi="Times New Roman" w:cs="Times New Roman"/>
          <w:sz w:val="24"/>
          <w:szCs w:val="24"/>
        </w:rPr>
        <w:t>o</w:t>
      </w:r>
      <w:r w:rsidR="008B6E7C" w:rsidRPr="006A2F2C">
        <w:rPr>
          <w:rFonts w:ascii="Times New Roman" w:hAnsi="Times New Roman" w:cs="Times New Roman"/>
          <w:sz w:val="24"/>
          <w:szCs w:val="24"/>
        </w:rPr>
        <w:t>krzyskim, gdzie p</w:t>
      </w:r>
      <w:r w:rsidR="00AB69BF" w:rsidRPr="006A2F2C">
        <w:rPr>
          <w:rFonts w:ascii="Times New Roman" w:hAnsi="Times New Roman" w:cs="Times New Roman"/>
          <w:sz w:val="24"/>
          <w:szCs w:val="24"/>
        </w:rPr>
        <w:t>r</w:t>
      </w:r>
      <w:r w:rsidR="008B6E7C" w:rsidRPr="006A2F2C">
        <w:rPr>
          <w:rFonts w:ascii="Times New Roman" w:hAnsi="Times New Roman" w:cs="Times New Roman"/>
          <w:sz w:val="24"/>
          <w:szCs w:val="24"/>
        </w:rPr>
        <w:t>z</w:t>
      </w:r>
      <w:r w:rsidR="00AB69BF" w:rsidRPr="006A2F2C">
        <w:rPr>
          <w:rFonts w:ascii="Times New Roman" w:hAnsi="Times New Roman" w:cs="Times New Roman"/>
          <w:sz w:val="24"/>
          <w:szCs w:val="24"/>
        </w:rPr>
        <w:t>ewa</w:t>
      </w:r>
      <w:r w:rsidR="008B6E7C" w:rsidRPr="006A2F2C">
        <w:rPr>
          <w:rFonts w:ascii="Times New Roman" w:hAnsi="Times New Roman" w:cs="Times New Roman"/>
          <w:sz w:val="24"/>
          <w:szCs w:val="24"/>
        </w:rPr>
        <w:t xml:space="preserve">ga </w:t>
      </w:r>
      <w:r w:rsidR="00917970" w:rsidRPr="006A2F2C">
        <w:rPr>
          <w:rFonts w:ascii="Times New Roman" w:hAnsi="Times New Roman" w:cs="Times New Roman"/>
          <w:sz w:val="24"/>
          <w:szCs w:val="24"/>
        </w:rPr>
        <w:t xml:space="preserve">mężczyzn pod tym względem </w:t>
      </w:r>
      <w:r w:rsidR="008B6E7C" w:rsidRPr="006A2F2C">
        <w:rPr>
          <w:rFonts w:ascii="Times New Roman" w:hAnsi="Times New Roman" w:cs="Times New Roman"/>
          <w:sz w:val="24"/>
          <w:szCs w:val="24"/>
        </w:rPr>
        <w:t xml:space="preserve">wynosi 10,5 </w:t>
      </w:r>
      <w:proofErr w:type="spellStart"/>
      <w:r w:rsidR="008B6E7C" w:rsidRPr="006A2F2C">
        <w:rPr>
          <w:rFonts w:ascii="Times New Roman" w:hAnsi="Times New Roman" w:cs="Times New Roman"/>
          <w:sz w:val="24"/>
          <w:szCs w:val="24"/>
        </w:rPr>
        <w:t>km</w:t>
      </w:r>
      <w:proofErr w:type="spellEnd"/>
      <w:r w:rsidR="008B6E7C" w:rsidRPr="006A2F2C">
        <w:rPr>
          <w:rFonts w:ascii="Times New Roman" w:hAnsi="Times New Roman" w:cs="Times New Roman"/>
          <w:sz w:val="24"/>
          <w:szCs w:val="24"/>
        </w:rPr>
        <w:t>. St</w:t>
      </w:r>
      <w:r w:rsidR="00AB69BF" w:rsidRPr="006A2F2C">
        <w:rPr>
          <w:rFonts w:ascii="Times New Roman" w:hAnsi="Times New Roman" w:cs="Times New Roman"/>
          <w:sz w:val="24"/>
          <w:szCs w:val="24"/>
        </w:rPr>
        <w:t>o</w:t>
      </w:r>
      <w:r w:rsidR="00335A4B" w:rsidRPr="006A2F2C">
        <w:rPr>
          <w:rFonts w:ascii="Times New Roman" w:hAnsi="Times New Roman" w:cs="Times New Roman"/>
          <w:sz w:val="24"/>
          <w:szCs w:val="24"/>
        </w:rPr>
        <w:t>sunkowo najmniejszą dysproporcję</w:t>
      </w:r>
      <w:r w:rsidR="008B6E7C" w:rsidRPr="006A2F2C">
        <w:rPr>
          <w:rFonts w:ascii="Times New Roman" w:hAnsi="Times New Roman" w:cs="Times New Roman"/>
          <w:sz w:val="24"/>
          <w:szCs w:val="24"/>
        </w:rPr>
        <w:t xml:space="preserve"> </w:t>
      </w:r>
      <w:r w:rsidR="00394893" w:rsidRPr="006A2F2C">
        <w:rPr>
          <w:rFonts w:ascii="Times New Roman" w:hAnsi="Times New Roman" w:cs="Times New Roman"/>
          <w:sz w:val="24"/>
          <w:szCs w:val="24"/>
        </w:rPr>
        <w:t>w tym zakresie</w:t>
      </w:r>
      <w:r w:rsidR="00AB69BF" w:rsidRPr="006A2F2C">
        <w:rPr>
          <w:rFonts w:ascii="Times New Roman" w:hAnsi="Times New Roman" w:cs="Times New Roman"/>
          <w:sz w:val="24"/>
          <w:szCs w:val="24"/>
        </w:rPr>
        <w:t xml:space="preserve"> można za</w:t>
      </w:r>
      <w:r w:rsidR="008B6E7C" w:rsidRPr="006A2F2C">
        <w:rPr>
          <w:rFonts w:ascii="Times New Roman" w:hAnsi="Times New Roman" w:cs="Times New Roman"/>
          <w:sz w:val="24"/>
          <w:szCs w:val="24"/>
        </w:rPr>
        <w:t>ob</w:t>
      </w:r>
      <w:r w:rsidR="00AB69BF" w:rsidRPr="006A2F2C">
        <w:rPr>
          <w:rFonts w:ascii="Times New Roman" w:hAnsi="Times New Roman" w:cs="Times New Roman"/>
          <w:sz w:val="24"/>
          <w:szCs w:val="24"/>
        </w:rPr>
        <w:t>s</w:t>
      </w:r>
      <w:r w:rsidR="008B6E7C" w:rsidRPr="006A2F2C">
        <w:rPr>
          <w:rFonts w:ascii="Times New Roman" w:hAnsi="Times New Roman" w:cs="Times New Roman"/>
          <w:sz w:val="24"/>
          <w:szCs w:val="24"/>
        </w:rPr>
        <w:t>erw</w:t>
      </w:r>
      <w:r w:rsidR="00AB69BF" w:rsidRPr="006A2F2C">
        <w:rPr>
          <w:rFonts w:ascii="Times New Roman" w:hAnsi="Times New Roman" w:cs="Times New Roman"/>
          <w:sz w:val="24"/>
          <w:szCs w:val="24"/>
        </w:rPr>
        <w:t>o</w:t>
      </w:r>
      <w:r w:rsidR="001F66DB" w:rsidRPr="006A2F2C">
        <w:rPr>
          <w:rFonts w:ascii="Times New Roman" w:hAnsi="Times New Roman" w:cs="Times New Roman"/>
          <w:sz w:val="24"/>
          <w:szCs w:val="24"/>
        </w:rPr>
        <w:t>wać w województwach: śląskim i mazowieckim</w:t>
      </w:r>
      <w:r w:rsidR="008B6E7C" w:rsidRPr="006A2F2C">
        <w:rPr>
          <w:rFonts w:ascii="Times New Roman" w:hAnsi="Times New Roman" w:cs="Times New Roman"/>
          <w:sz w:val="24"/>
          <w:szCs w:val="24"/>
        </w:rPr>
        <w:t xml:space="preserve">, gdzie </w:t>
      </w:r>
      <w:r w:rsidR="000D726A" w:rsidRPr="006A2F2C">
        <w:rPr>
          <w:rFonts w:ascii="Times New Roman" w:hAnsi="Times New Roman" w:cs="Times New Roman"/>
          <w:sz w:val="24"/>
          <w:szCs w:val="24"/>
        </w:rPr>
        <w:t xml:space="preserve">droga pokonywana przez </w:t>
      </w:r>
      <w:r w:rsidR="008B6E7C" w:rsidRPr="006A2F2C">
        <w:rPr>
          <w:rFonts w:ascii="Times New Roman" w:hAnsi="Times New Roman" w:cs="Times New Roman"/>
          <w:sz w:val="24"/>
          <w:szCs w:val="24"/>
        </w:rPr>
        <w:t xml:space="preserve">mężczyzn </w:t>
      </w:r>
      <w:r w:rsidR="000D726A" w:rsidRPr="006A2F2C">
        <w:rPr>
          <w:rFonts w:ascii="Times New Roman" w:hAnsi="Times New Roman" w:cs="Times New Roman"/>
          <w:sz w:val="24"/>
          <w:szCs w:val="24"/>
        </w:rPr>
        <w:t>jest dłuższa od odległości, którą przebywa</w:t>
      </w:r>
      <w:r w:rsidR="000F20E4" w:rsidRPr="006A2F2C">
        <w:rPr>
          <w:rFonts w:ascii="Times New Roman" w:hAnsi="Times New Roman" w:cs="Times New Roman"/>
          <w:sz w:val="24"/>
          <w:szCs w:val="24"/>
        </w:rPr>
        <w:t>ją</w:t>
      </w:r>
      <w:r w:rsidR="000D726A" w:rsidRPr="006A2F2C">
        <w:rPr>
          <w:rFonts w:ascii="Times New Roman" w:hAnsi="Times New Roman" w:cs="Times New Roman"/>
          <w:sz w:val="24"/>
          <w:szCs w:val="24"/>
        </w:rPr>
        <w:t xml:space="preserve"> kobiety </w:t>
      </w:r>
      <w:r w:rsidR="000F20E4" w:rsidRPr="006A2F2C">
        <w:rPr>
          <w:rFonts w:ascii="Times New Roman" w:hAnsi="Times New Roman" w:cs="Times New Roman"/>
          <w:sz w:val="24"/>
          <w:szCs w:val="24"/>
        </w:rPr>
        <w:t xml:space="preserve">przeciętnie </w:t>
      </w:r>
      <w:r w:rsidR="008B6E7C" w:rsidRPr="006A2F2C">
        <w:rPr>
          <w:rFonts w:ascii="Times New Roman" w:hAnsi="Times New Roman" w:cs="Times New Roman"/>
          <w:sz w:val="24"/>
          <w:szCs w:val="24"/>
        </w:rPr>
        <w:t>odp</w:t>
      </w:r>
      <w:r w:rsidR="00AB69BF" w:rsidRPr="006A2F2C">
        <w:rPr>
          <w:rFonts w:ascii="Times New Roman" w:hAnsi="Times New Roman" w:cs="Times New Roman"/>
          <w:sz w:val="24"/>
          <w:szCs w:val="24"/>
        </w:rPr>
        <w:t>o</w:t>
      </w:r>
      <w:r w:rsidR="008B6E7C" w:rsidRPr="006A2F2C">
        <w:rPr>
          <w:rFonts w:ascii="Times New Roman" w:hAnsi="Times New Roman" w:cs="Times New Roman"/>
          <w:sz w:val="24"/>
          <w:szCs w:val="24"/>
        </w:rPr>
        <w:t>wie</w:t>
      </w:r>
      <w:r w:rsidR="00AB69BF" w:rsidRPr="006A2F2C">
        <w:rPr>
          <w:rFonts w:ascii="Times New Roman" w:hAnsi="Times New Roman" w:cs="Times New Roman"/>
          <w:sz w:val="24"/>
          <w:szCs w:val="24"/>
        </w:rPr>
        <w:t>d</w:t>
      </w:r>
      <w:r w:rsidR="008B6E7C" w:rsidRPr="006A2F2C">
        <w:rPr>
          <w:rFonts w:ascii="Times New Roman" w:hAnsi="Times New Roman" w:cs="Times New Roman"/>
          <w:sz w:val="24"/>
          <w:szCs w:val="24"/>
        </w:rPr>
        <w:t>n</w:t>
      </w:r>
      <w:r w:rsidR="00AC794A" w:rsidRPr="006A2F2C">
        <w:rPr>
          <w:rFonts w:ascii="Times New Roman" w:hAnsi="Times New Roman" w:cs="Times New Roman"/>
          <w:sz w:val="24"/>
          <w:szCs w:val="24"/>
        </w:rPr>
        <w:t>io</w:t>
      </w:r>
      <w:r w:rsidR="000D726A" w:rsidRPr="006A2F2C">
        <w:rPr>
          <w:rFonts w:ascii="Times New Roman" w:hAnsi="Times New Roman" w:cs="Times New Roman"/>
          <w:sz w:val="24"/>
          <w:szCs w:val="24"/>
        </w:rPr>
        <w:t xml:space="preserve"> o</w:t>
      </w:r>
      <w:r w:rsidR="00AC794A" w:rsidRPr="006A2F2C">
        <w:rPr>
          <w:rFonts w:ascii="Times New Roman" w:hAnsi="Times New Roman" w:cs="Times New Roman"/>
          <w:sz w:val="24"/>
          <w:szCs w:val="24"/>
        </w:rPr>
        <w:t xml:space="preserve"> 4,4 km oraz 4,7</w:t>
      </w:r>
      <w:r w:rsidR="000D726A" w:rsidRPr="006A2F2C">
        <w:rPr>
          <w:rFonts w:ascii="Times New Roman" w:hAnsi="Times New Roman" w:cs="Times New Roman"/>
          <w:sz w:val="24"/>
          <w:szCs w:val="24"/>
        </w:rPr>
        <w:t xml:space="preserve"> </w:t>
      </w:r>
      <w:proofErr w:type="spellStart"/>
      <w:r w:rsidR="000D726A" w:rsidRPr="006A2F2C">
        <w:rPr>
          <w:rFonts w:ascii="Times New Roman" w:hAnsi="Times New Roman" w:cs="Times New Roman"/>
          <w:sz w:val="24"/>
          <w:szCs w:val="24"/>
        </w:rPr>
        <w:t>km</w:t>
      </w:r>
      <w:proofErr w:type="spellEnd"/>
      <w:r w:rsidR="000D726A" w:rsidRPr="006A2F2C">
        <w:rPr>
          <w:rFonts w:ascii="Times New Roman" w:hAnsi="Times New Roman" w:cs="Times New Roman"/>
          <w:sz w:val="24"/>
          <w:szCs w:val="24"/>
        </w:rPr>
        <w:t>.</w:t>
      </w:r>
    </w:p>
    <w:p w:rsidR="0075546F" w:rsidRPr="00243CD6" w:rsidRDefault="00DE1EC4" w:rsidP="00243CD6">
      <w:pPr>
        <w:keepNext/>
        <w:tabs>
          <w:tab w:val="left" w:pos="709"/>
        </w:tabs>
        <w:spacing w:before="120" w:after="120"/>
        <w:jc w:val="both"/>
        <w:rPr>
          <w:rFonts w:ascii="Times New Roman" w:hAnsi="Times New Roman" w:cs="Times New Roman"/>
          <w:b/>
          <w:sz w:val="28"/>
          <w:szCs w:val="28"/>
        </w:rPr>
      </w:pPr>
      <w:r w:rsidRPr="00243CD6">
        <w:rPr>
          <w:rFonts w:ascii="Times New Roman" w:hAnsi="Times New Roman" w:cs="Times New Roman"/>
          <w:b/>
          <w:sz w:val="28"/>
          <w:szCs w:val="28"/>
        </w:rPr>
        <w:t xml:space="preserve">6.3. </w:t>
      </w:r>
      <w:r w:rsidR="009B1E9B" w:rsidRPr="00243CD6">
        <w:rPr>
          <w:rFonts w:ascii="Times New Roman" w:hAnsi="Times New Roman" w:cs="Times New Roman"/>
          <w:b/>
          <w:sz w:val="28"/>
          <w:szCs w:val="28"/>
        </w:rPr>
        <w:t>Wybrane p</w:t>
      </w:r>
      <w:r w:rsidR="001F4771" w:rsidRPr="00243CD6">
        <w:rPr>
          <w:rFonts w:ascii="Times New Roman" w:hAnsi="Times New Roman" w:cs="Times New Roman"/>
          <w:b/>
          <w:sz w:val="28"/>
          <w:szCs w:val="28"/>
        </w:rPr>
        <w:t>ozostałe aspekty dojazdów do pracy</w:t>
      </w:r>
    </w:p>
    <w:p w:rsidR="00D76932" w:rsidRPr="006A2F2C" w:rsidRDefault="00033CCC" w:rsidP="006A2F2C">
      <w:pPr>
        <w:pStyle w:val="tekstgl"/>
        <w:spacing w:after="0" w:line="360" w:lineRule="auto"/>
        <w:ind w:firstLine="709"/>
        <w:rPr>
          <w:rFonts w:ascii="Times New Roman" w:hAnsi="Times New Roman" w:cs="Times New Roman"/>
          <w:sz w:val="24"/>
          <w:szCs w:val="24"/>
        </w:rPr>
      </w:pPr>
      <w:r w:rsidRPr="006A2F2C">
        <w:rPr>
          <w:rFonts w:ascii="Times New Roman" w:hAnsi="Times New Roman" w:cs="Times New Roman"/>
          <w:sz w:val="24"/>
          <w:szCs w:val="24"/>
        </w:rPr>
        <w:t xml:space="preserve">Oprócz </w:t>
      </w:r>
      <w:r w:rsidR="009104C2" w:rsidRPr="006A2F2C">
        <w:rPr>
          <w:rFonts w:ascii="Times New Roman" w:hAnsi="Times New Roman" w:cs="Times New Roman"/>
          <w:sz w:val="24"/>
          <w:szCs w:val="24"/>
        </w:rPr>
        <w:t>odległości, jaką musi pokonywać dojeżdżający w drodze do pracy</w:t>
      </w:r>
      <w:r w:rsidR="00F75BD6" w:rsidRPr="006A2F2C">
        <w:rPr>
          <w:rFonts w:ascii="Times New Roman" w:hAnsi="Times New Roman" w:cs="Times New Roman"/>
          <w:sz w:val="24"/>
          <w:szCs w:val="24"/>
        </w:rPr>
        <w:t>,</w:t>
      </w:r>
      <w:r w:rsidR="009104C2" w:rsidRPr="006A2F2C">
        <w:rPr>
          <w:rFonts w:ascii="Times New Roman" w:hAnsi="Times New Roman" w:cs="Times New Roman"/>
          <w:sz w:val="24"/>
          <w:szCs w:val="24"/>
        </w:rPr>
        <w:t xml:space="preserve"> badane zjawisko charakteryzują jeszcze inne ważne elementy takie jak: przeciętny czas dojazdu do głównego miejsca pracy, środek </w:t>
      </w:r>
      <w:r w:rsidR="00257555" w:rsidRPr="006A2F2C">
        <w:rPr>
          <w:rFonts w:ascii="Times New Roman" w:hAnsi="Times New Roman" w:cs="Times New Roman"/>
          <w:sz w:val="24"/>
          <w:szCs w:val="24"/>
        </w:rPr>
        <w:t>transportu</w:t>
      </w:r>
      <w:r w:rsidR="009104C2" w:rsidRPr="006A2F2C">
        <w:rPr>
          <w:rFonts w:ascii="Times New Roman" w:hAnsi="Times New Roman" w:cs="Times New Roman"/>
          <w:sz w:val="24"/>
          <w:szCs w:val="24"/>
        </w:rPr>
        <w:t xml:space="preserve"> używany podczas dojeżdżania do  pracy czy częstotliwość dojeżdżania. W tej części publikacji </w:t>
      </w:r>
      <w:r w:rsidR="00D76932" w:rsidRPr="006A2F2C">
        <w:rPr>
          <w:rFonts w:ascii="Times New Roman" w:hAnsi="Times New Roman" w:cs="Times New Roman"/>
          <w:sz w:val="24"/>
          <w:szCs w:val="24"/>
        </w:rPr>
        <w:t>omów</w:t>
      </w:r>
      <w:r w:rsidR="009104C2" w:rsidRPr="006A2F2C">
        <w:rPr>
          <w:rFonts w:ascii="Times New Roman" w:hAnsi="Times New Roman" w:cs="Times New Roman"/>
          <w:sz w:val="24"/>
          <w:szCs w:val="24"/>
        </w:rPr>
        <w:t>i</w:t>
      </w:r>
      <w:r w:rsidR="004C43C9" w:rsidRPr="006A2F2C">
        <w:rPr>
          <w:rFonts w:ascii="Times New Roman" w:hAnsi="Times New Roman" w:cs="Times New Roman"/>
          <w:sz w:val="24"/>
          <w:szCs w:val="24"/>
        </w:rPr>
        <w:t>one zostaną</w:t>
      </w:r>
      <w:r w:rsidR="009104C2" w:rsidRPr="006A2F2C">
        <w:rPr>
          <w:rFonts w:ascii="Times New Roman" w:hAnsi="Times New Roman" w:cs="Times New Roman"/>
          <w:sz w:val="24"/>
          <w:szCs w:val="24"/>
        </w:rPr>
        <w:t xml:space="preserve"> kolejno wszystkie te aspekty.</w:t>
      </w:r>
      <w:r w:rsidR="00993A54" w:rsidRPr="006A2F2C">
        <w:rPr>
          <w:rFonts w:ascii="Times New Roman" w:hAnsi="Times New Roman" w:cs="Times New Roman"/>
          <w:sz w:val="24"/>
          <w:szCs w:val="24"/>
        </w:rPr>
        <w:t xml:space="preserve"> </w:t>
      </w:r>
      <w:r w:rsidR="00D76932" w:rsidRPr="006A2F2C">
        <w:rPr>
          <w:rFonts w:ascii="Times New Roman" w:hAnsi="Times New Roman" w:cs="Times New Roman"/>
          <w:sz w:val="24"/>
          <w:szCs w:val="24"/>
        </w:rPr>
        <w:t>Ba</w:t>
      </w:r>
      <w:r w:rsidR="004C43C9" w:rsidRPr="006A2F2C">
        <w:rPr>
          <w:rFonts w:ascii="Times New Roman" w:hAnsi="Times New Roman" w:cs="Times New Roman"/>
          <w:sz w:val="24"/>
          <w:szCs w:val="24"/>
        </w:rPr>
        <w:t>dani</w:t>
      </w:r>
      <w:r w:rsidR="00D76932" w:rsidRPr="006A2F2C">
        <w:rPr>
          <w:rFonts w:ascii="Times New Roman" w:hAnsi="Times New Roman" w:cs="Times New Roman"/>
          <w:sz w:val="24"/>
          <w:szCs w:val="24"/>
        </w:rPr>
        <w:t xml:space="preserve"> będ</w:t>
      </w:r>
      <w:r w:rsidR="004C43C9" w:rsidRPr="006A2F2C">
        <w:rPr>
          <w:rFonts w:ascii="Times New Roman" w:hAnsi="Times New Roman" w:cs="Times New Roman"/>
          <w:sz w:val="24"/>
          <w:szCs w:val="24"/>
        </w:rPr>
        <w:t>ą</w:t>
      </w:r>
      <w:r w:rsidR="00D76932" w:rsidRPr="006A2F2C">
        <w:rPr>
          <w:rFonts w:ascii="Times New Roman" w:hAnsi="Times New Roman" w:cs="Times New Roman"/>
          <w:sz w:val="24"/>
          <w:szCs w:val="24"/>
        </w:rPr>
        <w:t xml:space="preserve"> </w:t>
      </w:r>
      <w:r w:rsidRPr="006A2F2C">
        <w:rPr>
          <w:rFonts w:ascii="Times New Roman" w:hAnsi="Times New Roman" w:cs="Times New Roman"/>
          <w:sz w:val="24"/>
          <w:szCs w:val="24"/>
        </w:rPr>
        <w:t>do</w:t>
      </w:r>
      <w:r w:rsidR="00D76932" w:rsidRPr="006A2F2C">
        <w:rPr>
          <w:rFonts w:ascii="Times New Roman" w:hAnsi="Times New Roman" w:cs="Times New Roman"/>
          <w:sz w:val="24"/>
          <w:szCs w:val="24"/>
        </w:rPr>
        <w:t>jeżdża</w:t>
      </w:r>
      <w:r w:rsidR="004C43C9" w:rsidRPr="006A2F2C">
        <w:rPr>
          <w:rFonts w:ascii="Times New Roman" w:hAnsi="Times New Roman" w:cs="Times New Roman"/>
          <w:sz w:val="24"/>
          <w:szCs w:val="24"/>
        </w:rPr>
        <w:t>jący</w:t>
      </w:r>
      <w:r w:rsidR="00D76932" w:rsidRPr="006A2F2C">
        <w:rPr>
          <w:rFonts w:ascii="Times New Roman" w:hAnsi="Times New Roman" w:cs="Times New Roman"/>
          <w:sz w:val="24"/>
          <w:szCs w:val="24"/>
        </w:rPr>
        <w:t xml:space="preserve"> do </w:t>
      </w:r>
      <w:r w:rsidR="00F75BD6" w:rsidRPr="006A2F2C">
        <w:rPr>
          <w:rFonts w:ascii="Times New Roman" w:hAnsi="Times New Roman" w:cs="Times New Roman"/>
          <w:sz w:val="24"/>
          <w:szCs w:val="24"/>
        </w:rPr>
        <w:t xml:space="preserve">głównego miejsca </w:t>
      </w:r>
      <w:r w:rsidR="00D76932" w:rsidRPr="006A2F2C">
        <w:rPr>
          <w:rFonts w:ascii="Times New Roman" w:hAnsi="Times New Roman" w:cs="Times New Roman"/>
          <w:sz w:val="24"/>
          <w:szCs w:val="24"/>
        </w:rPr>
        <w:t xml:space="preserve">pracy, </w:t>
      </w:r>
      <w:r w:rsidR="00F75BD6" w:rsidRPr="006A2F2C">
        <w:rPr>
          <w:rFonts w:ascii="Times New Roman" w:hAnsi="Times New Roman" w:cs="Times New Roman"/>
          <w:sz w:val="24"/>
          <w:szCs w:val="24"/>
        </w:rPr>
        <w:t>zlokalizowanego</w:t>
      </w:r>
      <w:r w:rsidRPr="006A2F2C">
        <w:rPr>
          <w:rFonts w:ascii="Times New Roman" w:hAnsi="Times New Roman" w:cs="Times New Roman"/>
          <w:sz w:val="24"/>
          <w:szCs w:val="24"/>
        </w:rPr>
        <w:t xml:space="preserve"> zarówno na</w:t>
      </w:r>
      <w:r w:rsidR="00993A54" w:rsidRPr="006A2F2C">
        <w:rPr>
          <w:rFonts w:ascii="Times New Roman" w:hAnsi="Times New Roman" w:cs="Times New Roman"/>
          <w:sz w:val="24"/>
          <w:szCs w:val="24"/>
        </w:rPr>
        <w:t xml:space="preserve"> tere</w:t>
      </w:r>
      <w:r w:rsidRPr="006A2F2C">
        <w:rPr>
          <w:rFonts w:ascii="Times New Roman" w:hAnsi="Times New Roman" w:cs="Times New Roman"/>
          <w:sz w:val="24"/>
          <w:szCs w:val="24"/>
        </w:rPr>
        <w:t>nie Polski jak i na obszarach przygra</w:t>
      </w:r>
      <w:r w:rsidR="00D76932" w:rsidRPr="006A2F2C">
        <w:rPr>
          <w:rFonts w:ascii="Times New Roman" w:hAnsi="Times New Roman" w:cs="Times New Roman"/>
          <w:sz w:val="24"/>
          <w:szCs w:val="24"/>
        </w:rPr>
        <w:t>nicznych państw ościennych.</w:t>
      </w:r>
      <w:r w:rsidR="00940D48">
        <w:rPr>
          <w:rFonts w:ascii="Times New Roman" w:hAnsi="Times New Roman" w:cs="Times New Roman"/>
          <w:sz w:val="24"/>
          <w:szCs w:val="24"/>
        </w:rPr>
        <w:t xml:space="preserve"> Analizę przeprowadzono w </w:t>
      </w:r>
      <w:r w:rsidR="00027558" w:rsidRPr="006A2F2C">
        <w:rPr>
          <w:rFonts w:ascii="Times New Roman" w:hAnsi="Times New Roman" w:cs="Times New Roman"/>
          <w:sz w:val="24"/>
          <w:szCs w:val="24"/>
        </w:rPr>
        <w:t xml:space="preserve">oparciu o </w:t>
      </w:r>
      <w:r w:rsidR="007E592A" w:rsidRPr="006A2F2C">
        <w:rPr>
          <w:rFonts w:ascii="Times New Roman" w:hAnsi="Times New Roman" w:cs="Times New Roman"/>
          <w:sz w:val="24"/>
          <w:szCs w:val="24"/>
        </w:rPr>
        <w:t>informacje</w:t>
      </w:r>
      <w:r w:rsidR="00027558" w:rsidRPr="006A2F2C">
        <w:rPr>
          <w:rFonts w:ascii="Times New Roman" w:hAnsi="Times New Roman" w:cs="Times New Roman"/>
          <w:sz w:val="24"/>
          <w:szCs w:val="24"/>
        </w:rPr>
        <w:t xml:space="preserve"> dla tych respondentów, któr</w:t>
      </w:r>
      <w:r w:rsidR="00F75BD6" w:rsidRPr="006A2F2C">
        <w:rPr>
          <w:rFonts w:ascii="Times New Roman" w:hAnsi="Times New Roman" w:cs="Times New Roman"/>
          <w:sz w:val="24"/>
          <w:szCs w:val="24"/>
        </w:rPr>
        <w:t>z</w:t>
      </w:r>
      <w:r w:rsidR="00027558" w:rsidRPr="006A2F2C">
        <w:rPr>
          <w:rFonts w:ascii="Times New Roman" w:hAnsi="Times New Roman" w:cs="Times New Roman"/>
          <w:sz w:val="24"/>
          <w:szCs w:val="24"/>
        </w:rPr>
        <w:t>y udzielili konkretnej odpowiedzi na dane pytanie.</w:t>
      </w:r>
    </w:p>
    <w:p w:rsidR="00033CCC" w:rsidRPr="00816A59" w:rsidRDefault="00723997" w:rsidP="006A2F2C">
      <w:pPr>
        <w:pStyle w:val="tekstgl"/>
        <w:spacing w:after="0" w:line="360" w:lineRule="auto"/>
        <w:ind w:firstLine="709"/>
        <w:rPr>
          <w:rFonts w:ascii="Times New Roman" w:hAnsi="Times New Roman" w:cs="Times New Roman"/>
          <w:sz w:val="24"/>
          <w:szCs w:val="24"/>
        </w:rPr>
      </w:pPr>
      <w:r w:rsidRPr="00816A59">
        <w:rPr>
          <w:rFonts w:ascii="Times New Roman" w:hAnsi="Times New Roman" w:cs="Times New Roman"/>
          <w:sz w:val="24"/>
          <w:szCs w:val="24"/>
        </w:rPr>
        <w:t>Z o</w:t>
      </w:r>
      <w:r w:rsidR="007841FF" w:rsidRPr="00816A59">
        <w:rPr>
          <w:rFonts w:ascii="Times New Roman" w:hAnsi="Times New Roman" w:cs="Times New Roman"/>
          <w:sz w:val="24"/>
          <w:szCs w:val="24"/>
        </w:rPr>
        <w:t>g</w:t>
      </w:r>
      <w:r w:rsidRPr="00816A59">
        <w:rPr>
          <w:rFonts w:ascii="Times New Roman" w:hAnsi="Times New Roman" w:cs="Times New Roman"/>
          <w:sz w:val="24"/>
          <w:szCs w:val="24"/>
        </w:rPr>
        <w:t>ó</w:t>
      </w:r>
      <w:r w:rsidR="007841FF" w:rsidRPr="00816A59">
        <w:rPr>
          <w:rFonts w:ascii="Times New Roman" w:hAnsi="Times New Roman" w:cs="Times New Roman"/>
          <w:sz w:val="24"/>
          <w:szCs w:val="24"/>
        </w:rPr>
        <w:t>lnej liczby d</w:t>
      </w:r>
      <w:r w:rsidRPr="00816A59">
        <w:rPr>
          <w:rFonts w:ascii="Times New Roman" w:hAnsi="Times New Roman" w:cs="Times New Roman"/>
          <w:sz w:val="24"/>
          <w:szCs w:val="24"/>
        </w:rPr>
        <w:t>ojeżdżający</w:t>
      </w:r>
      <w:r w:rsidR="007841FF" w:rsidRPr="00816A59">
        <w:rPr>
          <w:rFonts w:ascii="Times New Roman" w:hAnsi="Times New Roman" w:cs="Times New Roman"/>
          <w:sz w:val="24"/>
          <w:szCs w:val="24"/>
        </w:rPr>
        <w:t>ch</w:t>
      </w:r>
      <w:r w:rsidRPr="00816A59">
        <w:rPr>
          <w:rFonts w:ascii="Times New Roman" w:hAnsi="Times New Roman" w:cs="Times New Roman"/>
          <w:sz w:val="24"/>
          <w:szCs w:val="24"/>
        </w:rPr>
        <w:t xml:space="preserve"> </w:t>
      </w:r>
      <w:r w:rsidR="00C92B7B" w:rsidRPr="00816A59">
        <w:rPr>
          <w:rFonts w:ascii="Times New Roman" w:hAnsi="Times New Roman" w:cs="Times New Roman"/>
          <w:sz w:val="24"/>
          <w:szCs w:val="24"/>
        </w:rPr>
        <w:t>6359</w:t>
      </w:r>
      <w:r w:rsidR="00B410C4" w:rsidRPr="00816A59">
        <w:rPr>
          <w:rFonts w:ascii="Times New Roman" w:hAnsi="Times New Roman" w:cs="Times New Roman"/>
          <w:sz w:val="24"/>
          <w:szCs w:val="24"/>
        </w:rPr>
        <w:t>,2 tys.</w:t>
      </w:r>
      <w:r w:rsidR="00931C49" w:rsidRPr="00816A59">
        <w:rPr>
          <w:rFonts w:ascii="Times New Roman" w:hAnsi="Times New Roman" w:cs="Times New Roman"/>
          <w:sz w:val="24"/>
          <w:szCs w:val="24"/>
        </w:rPr>
        <w:t xml:space="preserve"> </w:t>
      </w:r>
      <w:r w:rsidR="005A3919" w:rsidRPr="00816A59">
        <w:rPr>
          <w:rFonts w:ascii="Times New Roman" w:hAnsi="Times New Roman" w:cs="Times New Roman"/>
          <w:sz w:val="24"/>
          <w:szCs w:val="24"/>
        </w:rPr>
        <w:t xml:space="preserve">osób </w:t>
      </w:r>
      <w:r w:rsidR="00931C49" w:rsidRPr="00816A59">
        <w:rPr>
          <w:rFonts w:ascii="Times New Roman" w:hAnsi="Times New Roman" w:cs="Times New Roman"/>
          <w:sz w:val="24"/>
          <w:szCs w:val="24"/>
        </w:rPr>
        <w:t>(69,6%</w:t>
      </w:r>
      <w:r w:rsidR="00C92B7B" w:rsidRPr="00816A59">
        <w:rPr>
          <w:rFonts w:ascii="Times New Roman" w:hAnsi="Times New Roman" w:cs="Times New Roman"/>
          <w:sz w:val="24"/>
          <w:szCs w:val="24"/>
        </w:rPr>
        <w:t>) pokonywało</w:t>
      </w:r>
      <w:r w:rsidR="00931C49" w:rsidRPr="00816A59">
        <w:rPr>
          <w:rFonts w:ascii="Times New Roman" w:hAnsi="Times New Roman" w:cs="Times New Roman"/>
          <w:sz w:val="24"/>
          <w:szCs w:val="24"/>
        </w:rPr>
        <w:t xml:space="preserve"> odległość dziel</w:t>
      </w:r>
      <w:r w:rsidR="00E94755" w:rsidRPr="00816A59">
        <w:rPr>
          <w:rFonts w:ascii="Times New Roman" w:hAnsi="Times New Roman" w:cs="Times New Roman"/>
          <w:sz w:val="24"/>
          <w:szCs w:val="24"/>
        </w:rPr>
        <w:t>ą</w:t>
      </w:r>
      <w:r w:rsidR="00931C49" w:rsidRPr="00816A59">
        <w:rPr>
          <w:rFonts w:ascii="Times New Roman" w:hAnsi="Times New Roman" w:cs="Times New Roman"/>
          <w:sz w:val="24"/>
          <w:szCs w:val="24"/>
        </w:rPr>
        <w:t>c</w:t>
      </w:r>
      <w:r w:rsidR="00E94755" w:rsidRPr="00816A59">
        <w:rPr>
          <w:rFonts w:ascii="Times New Roman" w:hAnsi="Times New Roman" w:cs="Times New Roman"/>
          <w:sz w:val="24"/>
          <w:szCs w:val="24"/>
        </w:rPr>
        <w:t>ą</w:t>
      </w:r>
      <w:r w:rsidR="00931C49" w:rsidRPr="00816A59">
        <w:rPr>
          <w:rFonts w:ascii="Times New Roman" w:hAnsi="Times New Roman" w:cs="Times New Roman"/>
          <w:sz w:val="24"/>
          <w:szCs w:val="24"/>
        </w:rPr>
        <w:t xml:space="preserve"> je od</w:t>
      </w:r>
      <w:r w:rsidR="00E94755" w:rsidRPr="00816A59">
        <w:rPr>
          <w:rFonts w:ascii="Times New Roman" w:hAnsi="Times New Roman" w:cs="Times New Roman"/>
          <w:sz w:val="24"/>
          <w:szCs w:val="24"/>
        </w:rPr>
        <w:t xml:space="preserve"> </w:t>
      </w:r>
      <w:r w:rsidR="00F75BD6" w:rsidRPr="00816A59">
        <w:rPr>
          <w:rFonts w:ascii="Times New Roman" w:hAnsi="Times New Roman" w:cs="Times New Roman"/>
          <w:sz w:val="24"/>
          <w:szCs w:val="24"/>
        </w:rPr>
        <w:t>głów</w:t>
      </w:r>
      <w:r w:rsidR="00931C49" w:rsidRPr="00816A59">
        <w:rPr>
          <w:rFonts w:ascii="Times New Roman" w:hAnsi="Times New Roman" w:cs="Times New Roman"/>
          <w:sz w:val="24"/>
          <w:szCs w:val="24"/>
        </w:rPr>
        <w:t>nego miejsca pracy w czasi</w:t>
      </w:r>
      <w:r w:rsidR="00E94755" w:rsidRPr="00816A59">
        <w:rPr>
          <w:rFonts w:ascii="Times New Roman" w:hAnsi="Times New Roman" w:cs="Times New Roman"/>
          <w:sz w:val="24"/>
          <w:szCs w:val="24"/>
        </w:rPr>
        <w:t>e</w:t>
      </w:r>
      <w:r w:rsidR="00931C49" w:rsidRPr="00816A59">
        <w:rPr>
          <w:rFonts w:ascii="Times New Roman" w:hAnsi="Times New Roman" w:cs="Times New Roman"/>
          <w:sz w:val="24"/>
          <w:szCs w:val="24"/>
        </w:rPr>
        <w:t xml:space="preserve"> nie d</w:t>
      </w:r>
      <w:r w:rsidR="00E94755" w:rsidRPr="00816A59">
        <w:rPr>
          <w:rFonts w:ascii="Times New Roman" w:hAnsi="Times New Roman" w:cs="Times New Roman"/>
          <w:sz w:val="24"/>
          <w:szCs w:val="24"/>
        </w:rPr>
        <w:t>ł</w:t>
      </w:r>
      <w:r w:rsidR="00931C49" w:rsidRPr="00816A59">
        <w:rPr>
          <w:rFonts w:ascii="Times New Roman" w:hAnsi="Times New Roman" w:cs="Times New Roman"/>
          <w:sz w:val="24"/>
          <w:szCs w:val="24"/>
        </w:rPr>
        <w:t>uższ</w:t>
      </w:r>
      <w:r w:rsidR="00E94755" w:rsidRPr="00816A59">
        <w:rPr>
          <w:rFonts w:ascii="Times New Roman" w:hAnsi="Times New Roman" w:cs="Times New Roman"/>
          <w:sz w:val="24"/>
          <w:szCs w:val="24"/>
        </w:rPr>
        <w:t>y</w:t>
      </w:r>
      <w:r w:rsidR="00931C49" w:rsidRPr="00816A59">
        <w:rPr>
          <w:rFonts w:ascii="Times New Roman" w:hAnsi="Times New Roman" w:cs="Times New Roman"/>
          <w:sz w:val="24"/>
          <w:szCs w:val="24"/>
        </w:rPr>
        <w:t>m niż 30 minut,</w:t>
      </w:r>
      <w:r w:rsidR="00E94755" w:rsidRPr="00816A59">
        <w:rPr>
          <w:rFonts w:ascii="Times New Roman" w:hAnsi="Times New Roman" w:cs="Times New Roman"/>
          <w:sz w:val="24"/>
          <w:szCs w:val="24"/>
        </w:rPr>
        <w:t xml:space="preserve"> </w:t>
      </w:r>
      <w:r w:rsidR="00DA7F08" w:rsidRPr="00816A59">
        <w:rPr>
          <w:rFonts w:ascii="Times New Roman" w:hAnsi="Times New Roman" w:cs="Times New Roman"/>
          <w:sz w:val="24"/>
          <w:szCs w:val="24"/>
        </w:rPr>
        <w:t>2101</w:t>
      </w:r>
      <w:r w:rsidR="00B410C4" w:rsidRPr="00816A59">
        <w:rPr>
          <w:rFonts w:ascii="Times New Roman" w:hAnsi="Times New Roman" w:cs="Times New Roman"/>
          <w:sz w:val="24"/>
          <w:szCs w:val="24"/>
        </w:rPr>
        <w:t>,8 tys.</w:t>
      </w:r>
      <w:r w:rsidR="00E94755" w:rsidRPr="00816A59">
        <w:rPr>
          <w:rFonts w:ascii="Times New Roman" w:hAnsi="Times New Roman" w:cs="Times New Roman"/>
          <w:sz w:val="24"/>
          <w:szCs w:val="24"/>
        </w:rPr>
        <w:t xml:space="preserve"> osób (23,0%) </w:t>
      </w:r>
      <w:r w:rsidR="00931C49" w:rsidRPr="00816A59">
        <w:rPr>
          <w:rFonts w:ascii="Times New Roman" w:hAnsi="Times New Roman" w:cs="Times New Roman"/>
          <w:sz w:val="24"/>
          <w:szCs w:val="24"/>
        </w:rPr>
        <w:t>–</w:t>
      </w:r>
      <w:r w:rsidR="00E94755" w:rsidRPr="00816A59">
        <w:rPr>
          <w:rFonts w:ascii="Times New Roman" w:hAnsi="Times New Roman" w:cs="Times New Roman"/>
          <w:sz w:val="24"/>
          <w:szCs w:val="24"/>
        </w:rPr>
        <w:t xml:space="preserve"> </w:t>
      </w:r>
      <w:r w:rsidR="00931C49" w:rsidRPr="00816A59">
        <w:rPr>
          <w:rFonts w:ascii="Times New Roman" w:hAnsi="Times New Roman" w:cs="Times New Roman"/>
          <w:sz w:val="24"/>
          <w:szCs w:val="24"/>
        </w:rPr>
        <w:t>od</w:t>
      </w:r>
      <w:r w:rsidR="00E94755" w:rsidRPr="00816A59">
        <w:rPr>
          <w:rFonts w:ascii="Times New Roman" w:hAnsi="Times New Roman" w:cs="Times New Roman"/>
          <w:sz w:val="24"/>
          <w:szCs w:val="24"/>
        </w:rPr>
        <w:t xml:space="preserve"> </w:t>
      </w:r>
      <w:r w:rsidR="00940D48" w:rsidRPr="00816A59">
        <w:rPr>
          <w:rFonts w:ascii="Times New Roman" w:hAnsi="Times New Roman" w:cs="Times New Roman"/>
          <w:sz w:val="24"/>
          <w:szCs w:val="24"/>
        </w:rPr>
        <w:t>31 </w:t>
      </w:r>
      <w:r w:rsidR="00931C49" w:rsidRPr="00816A59">
        <w:rPr>
          <w:rFonts w:ascii="Times New Roman" w:hAnsi="Times New Roman" w:cs="Times New Roman"/>
          <w:sz w:val="24"/>
          <w:szCs w:val="24"/>
        </w:rPr>
        <w:t>minut d</w:t>
      </w:r>
      <w:r w:rsidR="00833586" w:rsidRPr="00816A59">
        <w:rPr>
          <w:rFonts w:ascii="Times New Roman" w:hAnsi="Times New Roman" w:cs="Times New Roman"/>
          <w:sz w:val="24"/>
          <w:szCs w:val="24"/>
        </w:rPr>
        <w:t>o</w:t>
      </w:r>
      <w:r w:rsidR="00931C49" w:rsidRPr="00816A59">
        <w:rPr>
          <w:rFonts w:ascii="Times New Roman" w:hAnsi="Times New Roman" w:cs="Times New Roman"/>
          <w:sz w:val="24"/>
          <w:szCs w:val="24"/>
        </w:rPr>
        <w:t xml:space="preserve"> </w:t>
      </w:r>
      <w:r w:rsidR="00E94755" w:rsidRPr="00816A59">
        <w:rPr>
          <w:rFonts w:ascii="Times New Roman" w:hAnsi="Times New Roman" w:cs="Times New Roman"/>
          <w:sz w:val="24"/>
          <w:szCs w:val="24"/>
        </w:rPr>
        <w:t xml:space="preserve">jednej godziny, </w:t>
      </w:r>
      <w:r w:rsidR="000E537A" w:rsidRPr="00816A59">
        <w:rPr>
          <w:rFonts w:ascii="Times New Roman" w:hAnsi="Times New Roman" w:cs="Times New Roman"/>
          <w:sz w:val="24"/>
          <w:szCs w:val="24"/>
        </w:rPr>
        <w:t>53</w:t>
      </w:r>
      <w:r w:rsidR="00037A8B" w:rsidRPr="00816A59">
        <w:rPr>
          <w:rFonts w:ascii="Times New Roman" w:hAnsi="Times New Roman" w:cs="Times New Roman"/>
          <w:sz w:val="24"/>
          <w:szCs w:val="24"/>
        </w:rPr>
        <w:t>0</w:t>
      </w:r>
      <w:r w:rsidR="00267607" w:rsidRPr="00816A59">
        <w:rPr>
          <w:rFonts w:ascii="Times New Roman" w:hAnsi="Times New Roman" w:cs="Times New Roman"/>
          <w:sz w:val="24"/>
          <w:szCs w:val="24"/>
        </w:rPr>
        <w:t>,</w:t>
      </w:r>
      <w:r w:rsidR="00F46EB3" w:rsidRPr="00816A59">
        <w:rPr>
          <w:rFonts w:ascii="Times New Roman" w:hAnsi="Times New Roman" w:cs="Times New Roman"/>
          <w:sz w:val="24"/>
          <w:szCs w:val="24"/>
        </w:rPr>
        <w:t>9</w:t>
      </w:r>
      <w:r w:rsidR="00B410C4" w:rsidRPr="00816A59">
        <w:rPr>
          <w:rFonts w:ascii="Times New Roman" w:hAnsi="Times New Roman" w:cs="Times New Roman"/>
          <w:sz w:val="24"/>
          <w:szCs w:val="24"/>
        </w:rPr>
        <w:t xml:space="preserve"> tys. </w:t>
      </w:r>
      <w:r w:rsidR="00E94755" w:rsidRPr="00816A59">
        <w:rPr>
          <w:rFonts w:ascii="Times New Roman" w:hAnsi="Times New Roman" w:cs="Times New Roman"/>
          <w:sz w:val="24"/>
          <w:szCs w:val="24"/>
        </w:rPr>
        <w:t xml:space="preserve">osobom (5,8%) zajmowało to ponad godzinę ale nie więcej niż dwie godziny, zaś </w:t>
      </w:r>
      <w:r w:rsidR="00931C49" w:rsidRPr="00816A59">
        <w:rPr>
          <w:rFonts w:ascii="Times New Roman" w:hAnsi="Times New Roman" w:cs="Times New Roman"/>
          <w:sz w:val="24"/>
          <w:szCs w:val="24"/>
        </w:rPr>
        <w:t>150</w:t>
      </w:r>
      <w:r w:rsidR="00077F91" w:rsidRPr="00816A59">
        <w:rPr>
          <w:rFonts w:ascii="Times New Roman" w:hAnsi="Times New Roman" w:cs="Times New Roman"/>
          <w:sz w:val="24"/>
          <w:szCs w:val="24"/>
        </w:rPr>
        <w:t>,</w:t>
      </w:r>
      <w:r w:rsidR="00931C49" w:rsidRPr="00816A59">
        <w:rPr>
          <w:rFonts w:ascii="Times New Roman" w:hAnsi="Times New Roman" w:cs="Times New Roman"/>
          <w:sz w:val="24"/>
          <w:szCs w:val="24"/>
        </w:rPr>
        <w:t>5</w:t>
      </w:r>
      <w:r w:rsidR="00B410C4" w:rsidRPr="00816A59">
        <w:rPr>
          <w:rFonts w:ascii="Times New Roman" w:hAnsi="Times New Roman" w:cs="Times New Roman"/>
          <w:sz w:val="24"/>
          <w:szCs w:val="24"/>
        </w:rPr>
        <w:t xml:space="preserve"> tys. </w:t>
      </w:r>
      <w:r w:rsidR="00E94755" w:rsidRPr="00816A59">
        <w:rPr>
          <w:rFonts w:ascii="Times New Roman" w:hAnsi="Times New Roman" w:cs="Times New Roman"/>
          <w:sz w:val="24"/>
          <w:szCs w:val="24"/>
        </w:rPr>
        <w:t>osób (</w:t>
      </w:r>
      <w:r w:rsidR="00931C49" w:rsidRPr="00816A59">
        <w:rPr>
          <w:rFonts w:ascii="Times New Roman" w:hAnsi="Times New Roman" w:cs="Times New Roman"/>
          <w:sz w:val="24"/>
          <w:szCs w:val="24"/>
        </w:rPr>
        <w:t>1,6</w:t>
      </w:r>
      <w:r w:rsidR="00E94755" w:rsidRPr="00816A59">
        <w:rPr>
          <w:rFonts w:ascii="Times New Roman" w:hAnsi="Times New Roman" w:cs="Times New Roman"/>
          <w:sz w:val="24"/>
          <w:szCs w:val="24"/>
        </w:rPr>
        <w:t xml:space="preserve">%) musiało poświęcić na dojazd do pracy ponad dwie godziny. </w:t>
      </w:r>
      <w:r w:rsidR="00866AEC" w:rsidRPr="00816A59">
        <w:rPr>
          <w:rFonts w:ascii="Times New Roman" w:hAnsi="Times New Roman" w:cs="Times New Roman"/>
          <w:sz w:val="24"/>
          <w:szCs w:val="24"/>
        </w:rPr>
        <w:t>Z</w:t>
      </w:r>
      <w:r w:rsidR="00EA43F5" w:rsidRPr="00816A59">
        <w:rPr>
          <w:rFonts w:ascii="Times New Roman" w:hAnsi="Times New Roman" w:cs="Times New Roman"/>
          <w:sz w:val="24"/>
          <w:szCs w:val="24"/>
        </w:rPr>
        <w:t xml:space="preserve">arysowuje się </w:t>
      </w:r>
      <w:r w:rsidR="00866AEC" w:rsidRPr="00816A59">
        <w:rPr>
          <w:rFonts w:ascii="Times New Roman" w:hAnsi="Times New Roman" w:cs="Times New Roman"/>
          <w:sz w:val="24"/>
          <w:szCs w:val="24"/>
        </w:rPr>
        <w:t xml:space="preserve">zatem </w:t>
      </w:r>
      <w:r w:rsidR="00EA43F5" w:rsidRPr="00816A59">
        <w:rPr>
          <w:rFonts w:ascii="Times New Roman" w:hAnsi="Times New Roman" w:cs="Times New Roman"/>
          <w:sz w:val="24"/>
          <w:szCs w:val="24"/>
        </w:rPr>
        <w:t xml:space="preserve">tutaj zdecydowana przewaga dojazdów </w:t>
      </w:r>
      <w:r w:rsidR="0012332A" w:rsidRPr="00816A59">
        <w:rPr>
          <w:rFonts w:ascii="Times New Roman" w:hAnsi="Times New Roman" w:cs="Times New Roman"/>
          <w:sz w:val="24"/>
          <w:szCs w:val="24"/>
        </w:rPr>
        <w:t xml:space="preserve">zajmujących niewiele czasu </w:t>
      </w:r>
      <w:r w:rsidR="00EA43F5" w:rsidRPr="00816A59">
        <w:rPr>
          <w:rFonts w:ascii="Times New Roman" w:hAnsi="Times New Roman" w:cs="Times New Roman"/>
          <w:sz w:val="24"/>
          <w:szCs w:val="24"/>
        </w:rPr>
        <w:t xml:space="preserve">. </w:t>
      </w:r>
      <w:r w:rsidR="001C0ADF" w:rsidRPr="00816A59">
        <w:rPr>
          <w:rFonts w:ascii="Times New Roman" w:hAnsi="Times New Roman" w:cs="Times New Roman"/>
          <w:sz w:val="24"/>
          <w:szCs w:val="24"/>
        </w:rPr>
        <w:t>W </w:t>
      </w:r>
      <w:r w:rsidR="00033CCC" w:rsidRPr="00816A59">
        <w:rPr>
          <w:rFonts w:ascii="Times New Roman" w:hAnsi="Times New Roman" w:cs="Times New Roman"/>
          <w:sz w:val="24"/>
          <w:szCs w:val="24"/>
        </w:rPr>
        <w:t>struktu</w:t>
      </w:r>
      <w:r w:rsidR="0052746F" w:rsidRPr="00816A59">
        <w:rPr>
          <w:rFonts w:ascii="Times New Roman" w:hAnsi="Times New Roman" w:cs="Times New Roman"/>
          <w:sz w:val="24"/>
          <w:szCs w:val="24"/>
        </w:rPr>
        <w:t>rze</w:t>
      </w:r>
      <w:r w:rsidR="00033CCC" w:rsidRPr="00816A59">
        <w:rPr>
          <w:rFonts w:ascii="Times New Roman" w:hAnsi="Times New Roman" w:cs="Times New Roman"/>
          <w:sz w:val="24"/>
          <w:szCs w:val="24"/>
        </w:rPr>
        <w:t xml:space="preserve"> według woje</w:t>
      </w:r>
      <w:r w:rsidR="0052746F" w:rsidRPr="00816A59">
        <w:rPr>
          <w:rFonts w:ascii="Times New Roman" w:hAnsi="Times New Roman" w:cs="Times New Roman"/>
          <w:sz w:val="24"/>
          <w:szCs w:val="24"/>
        </w:rPr>
        <w:t>wództw obserwuje się</w:t>
      </w:r>
      <w:r w:rsidR="00033CCC" w:rsidRPr="00816A59">
        <w:rPr>
          <w:rFonts w:ascii="Times New Roman" w:hAnsi="Times New Roman" w:cs="Times New Roman"/>
          <w:sz w:val="24"/>
          <w:szCs w:val="24"/>
        </w:rPr>
        <w:t xml:space="preserve"> </w:t>
      </w:r>
      <w:r w:rsidR="0052746F" w:rsidRPr="00816A59">
        <w:rPr>
          <w:rFonts w:ascii="Times New Roman" w:hAnsi="Times New Roman" w:cs="Times New Roman"/>
          <w:sz w:val="24"/>
          <w:szCs w:val="24"/>
        </w:rPr>
        <w:t xml:space="preserve">zrozumiałą (z uwagi na potencjał Warszawy) </w:t>
      </w:r>
      <w:r w:rsidR="00033CCC" w:rsidRPr="00816A59">
        <w:rPr>
          <w:rFonts w:ascii="Times New Roman" w:hAnsi="Times New Roman" w:cs="Times New Roman"/>
          <w:sz w:val="24"/>
          <w:szCs w:val="24"/>
        </w:rPr>
        <w:t>domina</w:t>
      </w:r>
      <w:r w:rsidR="0052746F" w:rsidRPr="00816A59">
        <w:rPr>
          <w:rFonts w:ascii="Times New Roman" w:hAnsi="Times New Roman" w:cs="Times New Roman"/>
          <w:sz w:val="24"/>
          <w:szCs w:val="24"/>
        </w:rPr>
        <w:t>cję</w:t>
      </w:r>
      <w:r w:rsidR="00816A59">
        <w:rPr>
          <w:rFonts w:ascii="Times New Roman" w:hAnsi="Times New Roman" w:cs="Times New Roman"/>
          <w:sz w:val="24"/>
          <w:szCs w:val="24"/>
        </w:rPr>
        <w:t xml:space="preserve"> osób zamieszkałych w </w:t>
      </w:r>
      <w:r w:rsidR="00033CCC" w:rsidRPr="00816A59">
        <w:rPr>
          <w:rFonts w:ascii="Times New Roman" w:hAnsi="Times New Roman" w:cs="Times New Roman"/>
          <w:sz w:val="24"/>
          <w:szCs w:val="24"/>
        </w:rPr>
        <w:t>wojewódz</w:t>
      </w:r>
      <w:r w:rsidR="0052746F" w:rsidRPr="00816A59">
        <w:rPr>
          <w:rFonts w:ascii="Times New Roman" w:hAnsi="Times New Roman" w:cs="Times New Roman"/>
          <w:sz w:val="24"/>
          <w:szCs w:val="24"/>
        </w:rPr>
        <w:t>twie</w:t>
      </w:r>
      <w:r w:rsidR="00033CCC" w:rsidRPr="00816A59">
        <w:rPr>
          <w:rFonts w:ascii="Times New Roman" w:hAnsi="Times New Roman" w:cs="Times New Roman"/>
          <w:sz w:val="24"/>
          <w:szCs w:val="24"/>
        </w:rPr>
        <w:t xml:space="preserve"> mazowiec</w:t>
      </w:r>
      <w:r w:rsidR="0052746F" w:rsidRPr="00816A59">
        <w:rPr>
          <w:rFonts w:ascii="Times New Roman" w:hAnsi="Times New Roman" w:cs="Times New Roman"/>
          <w:sz w:val="24"/>
          <w:szCs w:val="24"/>
        </w:rPr>
        <w:t xml:space="preserve">kim – z wyjątkiem przejazdów najkrótszych (do 30 minut), gdzie prym wiedzie </w:t>
      </w:r>
      <w:r w:rsidR="00B410C4" w:rsidRPr="00816A59">
        <w:rPr>
          <w:rFonts w:ascii="Times New Roman" w:hAnsi="Times New Roman" w:cs="Times New Roman"/>
          <w:sz w:val="24"/>
          <w:szCs w:val="24"/>
        </w:rPr>
        <w:t>województwo ś</w:t>
      </w:r>
      <w:r w:rsidR="0052746F" w:rsidRPr="00816A59">
        <w:rPr>
          <w:rFonts w:ascii="Times New Roman" w:hAnsi="Times New Roman" w:cs="Times New Roman"/>
          <w:sz w:val="24"/>
          <w:szCs w:val="24"/>
        </w:rPr>
        <w:t>ląsk</w:t>
      </w:r>
      <w:r w:rsidR="00B410C4" w:rsidRPr="00816A59">
        <w:rPr>
          <w:rFonts w:ascii="Times New Roman" w:hAnsi="Times New Roman" w:cs="Times New Roman"/>
          <w:sz w:val="24"/>
          <w:szCs w:val="24"/>
        </w:rPr>
        <w:t>ie (14,8%, województwo m</w:t>
      </w:r>
      <w:r w:rsidR="0052746F" w:rsidRPr="00816A59">
        <w:rPr>
          <w:rFonts w:ascii="Times New Roman" w:hAnsi="Times New Roman" w:cs="Times New Roman"/>
          <w:sz w:val="24"/>
          <w:szCs w:val="24"/>
        </w:rPr>
        <w:t>azow</w:t>
      </w:r>
      <w:r w:rsidR="00B410C4" w:rsidRPr="00816A59">
        <w:rPr>
          <w:rFonts w:ascii="Times New Roman" w:hAnsi="Times New Roman" w:cs="Times New Roman"/>
          <w:sz w:val="24"/>
          <w:szCs w:val="24"/>
        </w:rPr>
        <w:t>ieckie</w:t>
      </w:r>
      <w:r w:rsidR="0052746F" w:rsidRPr="00816A59">
        <w:rPr>
          <w:rFonts w:ascii="Times New Roman" w:hAnsi="Times New Roman" w:cs="Times New Roman"/>
          <w:sz w:val="24"/>
          <w:szCs w:val="24"/>
        </w:rPr>
        <w:t xml:space="preserve"> – 12,7%). Przewaga </w:t>
      </w:r>
      <w:r w:rsidR="00B410C4" w:rsidRPr="00816A59">
        <w:rPr>
          <w:rFonts w:ascii="Times New Roman" w:hAnsi="Times New Roman" w:cs="Times New Roman"/>
          <w:sz w:val="24"/>
          <w:szCs w:val="24"/>
        </w:rPr>
        <w:t xml:space="preserve">województwa mazowieckiego </w:t>
      </w:r>
      <w:r w:rsidR="0052746F" w:rsidRPr="00816A59">
        <w:rPr>
          <w:rFonts w:ascii="Times New Roman" w:hAnsi="Times New Roman" w:cs="Times New Roman"/>
          <w:sz w:val="24"/>
          <w:szCs w:val="24"/>
        </w:rPr>
        <w:t xml:space="preserve">jest szczególnie widoczna w przypadku dojazdów dłuższych – </w:t>
      </w:r>
      <w:r w:rsidR="00F75BD6" w:rsidRPr="00816A59">
        <w:rPr>
          <w:rFonts w:ascii="Times New Roman" w:hAnsi="Times New Roman" w:cs="Times New Roman"/>
          <w:sz w:val="24"/>
          <w:szCs w:val="24"/>
        </w:rPr>
        <w:lastRenderedPageBreak/>
        <w:t>jeśli dojazd trwa</w:t>
      </w:r>
      <w:r w:rsidR="0052746F" w:rsidRPr="00816A59">
        <w:rPr>
          <w:rFonts w:ascii="Times New Roman" w:hAnsi="Times New Roman" w:cs="Times New Roman"/>
          <w:sz w:val="24"/>
          <w:szCs w:val="24"/>
        </w:rPr>
        <w:t xml:space="preserve"> ponad godzinę, ale nie dłużej niż dwie godziny</w:t>
      </w:r>
      <w:r w:rsidR="00AE0EE8" w:rsidRPr="00816A59">
        <w:rPr>
          <w:rFonts w:ascii="Times New Roman" w:hAnsi="Times New Roman" w:cs="Times New Roman"/>
          <w:sz w:val="24"/>
          <w:szCs w:val="24"/>
        </w:rPr>
        <w:t>,</w:t>
      </w:r>
      <w:r w:rsidR="0052746F" w:rsidRPr="00816A59">
        <w:rPr>
          <w:rFonts w:ascii="Times New Roman" w:hAnsi="Times New Roman" w:cs="Times New Roman"/>
          <w:sz w:val="24"/>
          <w:szCs w:val="24"/>
        </w:rPr>
        <w:t xml:space="preserve"> </w:t>
      </w:r>
      <w:r w:rsidR="00F75BD6" w:rsidRPr="00816A59">
        <w:rPr>
          <w:rFonts w:ascii="Times New Roman" w:hAnsi="Times New Roman" w:cs="Times New Roman"/>
          <w:sz w:val="24"/>
          <w:szCs w:val="24"/>
        </w:rPr>
        <w:t xml:space="preserve">to </w:t>
      </w:r>
      <w:r w:rsidR="0042595F" w:rsidRPr="00816A59">
        <w:rPr>
          <w:rFonts w:ascii="Times New Roman" w:hAnsi="Times New Roman" w:cs="Times New Roman"/>
          <w:sz w:val="24"/>
          <w:szCs w:val="24"/>
        </w:rPr>
        <w:t xml:space="preserve">udział </w:t>
      </w:r>
      <w:r w:rsidR="00033CCC" w:rsidRPr="00816A59">
        <w:rPr>
          <w:rFonts w:ascii="Times New Roman" w:hAnsi="Times New Roman" w:cs="Times New Roman"/>
          <w:sz w:val="24"/>
          <w:szCs w:val="24"/>
        </w:rPr>
        <w:t xml:space="preserve">dojeżdżających </w:t>
      </w:r>
      <w:r w:rsidR="00816A59">
        <w:rPr>
          <w:rFonts w:ascii="Times New Roman" w:hAnsi="Times New Roman" w:cs="Times New Roman"/>
          <w:sz w:val="24"/>
          <w:szCs w:val="24"/>
        </w:rPr>
        <w:t>w </w:t>
      </w:r>
      <w:r w:rsidR="00F75BD6" w:rsidRPr="00816A59">
        <w:rPr>
          <w:rFonts w:ascii="Times New Roman" w:hAnsi="Times New Roman" w:cs="Times New Roman"/>
          <w:sz w:val="24"/>
          <w:szCs w:val="24"/>
        </w:rPr>
        <w:t xml:space="preserve">takim czasie </w:t>
      </w:r>
      <w:r w:rsidR="00033CCC" w:rsidRPr="00816A59">
        <w:rPr>
          <w:rFonts w:ascii="Times New Roman" w:hAnsi="Times New Roman" w:cs="Times New Roman"/>
          <w:sz w:val="24"/>
          <w:szCs w:val="24"/>
        </w:rPr>
        <w:t xml:space="preserve">do pracy mieszkańców </w:t>
      </w:r>
      <w:r w:rsidR="00F75BD6" w:rsidRPr="00816A59">
        <w:rPr>
          <w:rFonts w:ascii="Times New Roman" w:hAnsi="Times New Roman" w:cs="Times New Roman"/>
          <w:sz w:val="24"/>
          <w:szCs w:val="24"/>
        </w:rPr>
        <w:t>tegoż województw</w:t>
      </w:r>
      <w:r w:rsidR="0092270E" w:rsidRPr="00816A59">
        <w:rPr>
          <w:rFonts w:ascii="Times New Roman" w:hAnsi="Times New Roman" w:cs="Times New Roman"/>
          <w:sz w:val="24"/>
          <w:szCs w:val="24"/>
        </w:rPr>
        <w:t>a</w:t>
      </w:r>
      <w:r w:rsidR="00F75BD6" w:rsidRPr="00816A59">
        <w:rPr>
          <w:rFonts w:ascii="Times New Roman" w:hAnsi="Times New Roman" w:cs="Times New Roman"/>
          <w:sz w:val="24"/>
          <w:szCs w:val="24"/>
        </w:rPr>
        <w:t xml:space="preserve"> w odpowiedniej liczbie ogółem </w:t>
      </w:r>
      <w:r w:rsidR="00033CCC" w:rsidRPr="00816A59">
        <w:rPr>
          <w:rFonts w:ascii="Times New Roman" w:hAnsi="Times New Roman" w:cs="Times New Roman"/>
          <w:sz w:val="24"/>
          <w:szCs w:val="24"/>
        </w:rPr>
        <w:t>wy</w:t>
      </w:r>
      <w:r w:rsidR="0052746F" w:rsidRPr="00816A59">
        <w:rPr>
          <w:rFonts w:ascii="Times New Roman" w:hAnsi="Times New Roman" w:cs="Times New Roman"/>
          <w:sz w:val="24"/>
          <w:szCs w:val="24"/>
        </w:rPr>
        <w:t>niósł 34</w:t>
      </w:r>
      <w:r w:rsidR="00033CCC" w:rsidRPr="00816A59">
        <w:rPr>
          <w:rFonts w:ascii="Times New Roman" w:hAnsi="Times New Roman" w:cs="Times New Roman"/>
          <w:sz w:val="24"/>
          <w:szCs w:val="24"/>
        </w:rPr>
        <w:t>,7%, podczas gdy drugie</w:t>
      </w:r>
      <w:r w:rsidR="0052746F" w:rsidRPr="00816A59">
        <w:rPr>
          <w:rFonts w:ascii="Times New Roman" w:hAnsi="Times New Roman" w:cs="Times New Roman"/>
          <w:sz w:val="24"/>
          <w:szCs w:val="24"/>
        </w:rPr>
        <w:t xml:space="preserve">go pod tym </w:t>
      </w:r>
      <w:r w:rsidR="00033CCC" w:rsidRPr="00816A59">
        <w:rPr>
          <w:rFonts w:ascii="Times New Roman" w:hAnsi="Times New Roman" w:cs="Times New Roman"/>
          <w:sz w:val="24"/>
          <w:szCs w:val="24"/>
        </w:rPr>
        <w:t xml:space="preserve">względem województwa </w:t>
      </w:r>
      <w:r w:rsidR="0052746F" w:rsidRPr="00816A59">
        <w:rPr>
          <w:rFonts w:ascii="Times New Roman" w:hAnsi="Times New Roman" w:cs="Times New Roman"/>
          <w:sz w:val="24"/>
          <w:szCs w:val="24"/>
        </w:rPr>
        <w:t>mał</w:t>
      </w:r>
      <w:r w:rsidR="00033CCC" w:rsidRPr="00816A59">
        <w:rPr>
          <w:rFonts w:ascii="Times New Roman" w:hAnsi="Times New Roman" w:cs="Times New Roman"/>
          <w:sz w:val="24"/>
          <w:szCs w:val="24"/>
        </w:rPr>
        <w:t>opol</w:t>
      </w:r>
      <w:r w:rsidR="00671E26" w:rsidRPr="00816A59">
        <w:rPr>
          <w:rFonts w:ascii="Times New Roman" w:hAnsi="Times New Roman" w:cs="Times New Roman"/>
          <w:sz w:val="24"/>
          <w:szCs w:val="24"/>
        </w:rPr>
        <w:t>skiego – 9,</w:t>
      </w:r>
      <w:r w:rsidR="00B92E10" w:rsidRPr="00816A59">
        <w:rPr>
          <w:rFonts w:ascii="Times New Roman" w:hAnsi="Times New Roman" w:cs="Times New Roman"/>
          <w:sz w:val="24"/>
          <w:szCs w:val="24"/>
        </w:rPr>
        <w:t>5</w:t>
      </w:r>
      <w:r w:rsidR="00033CCC" w:rsidRPr="00816A59">
        <w:rPr>
          <w:rFonts w:ascii="Times New Roman" w:hAnsi="Times New Roman" w:cs="Times New Roman"/>
          <w:sz w:val="24"/>
          <w:szCs w:val="24"/>
        </w:rPr>
        <w:t>%.</w:t>
      </w:r>
      <w:r w:rsidR="0052746F" w:rsidRPr="00816A59">
        <w:rPr>
          <w:rFonts w:ascii="Times New Roman" w:hAnsi="Times New Roman" w:cs="Times New Roman"/>
          <w:sz w:val="24"/>
          <w:szCs w:val="24"/>
        </w:rPr>
        <w:t xml:space="preserve"> W przypadku</w:t>
      </w:r>
      <w:r w:rsidR="00033CCC" w:rsidRPr="00816A59">
        <w:rPr>
          <w:rFonts w:ascii="Times New Roman" w:hAnsi="Times New Roman" w:cs="Times New Roman"/>
          <w:sz w:val="24"/>
          <w:szCs w:val="24"/>
        </w:rPr>
        <w:t xml:space="preserve"> </w:t>
      </w:r>
      <w:r w:rsidR="0052746F" w:rsidRPr="00816A59">
        <w:rPr>
          <w:rFonts w:ascii="Times New Roman" w:hAnsi="Times New Roman" w:cs="Times New Roman"/>
          <w:sz w:val="24"/>
          <w:szCs w:val="24"/>
        </w:rPr>
        <w:t>dojazdów trwających ponad dwie godziny</w:t>
      </w:r>
      <w:r w:rsidR="00816A59">
        <w:rPr>
          <w:rFonts w:ascii="Times New Roman" w:hAnsi="Times New Roman" w:cs="Times New Roman"/>
          <w:sz w:val="24"/>
          <w:szCs w:val="24"/>
        </w:rPr>
        <w:t xml:space="preserve"> było to odpowiednio: 18,7% i </w:t>
      </w:r>
      <w:r w:rsidR="0052746F" w:rsidRPr="00816A59">
        <w:rPr>
          <w:rFonts w:ascii="Times New Roman" w:hAnsi="Times New Roman" w:cs="Times New Roman"/>
          <w:sz w:val="24"/>
          <w:szCs w:val="24"/>
        </w:rPr>
        <w:t>10,2%. Dla dojazdów krótszych (od 31 minut do jednej godziny) na drugiej pozycj</w:t>
      </w:r>
      <w:r w:rsidR="00B410C4" w:rsidRPr="00816A59">
        <w:rPr>
          <w:rFonts w:ascii="Times New Roman" w:hAnsi="Times New Roman" w:cs="Times New Roman"/>
          <w:sz w:val="24"/>
          <w:szCs w:val="24"/>
        </w:rPr>
        <w:t>i w tym ujęciu plasuje się województwo śląskie</w:t>
      </w:r>
      <w:r w:rsidR="0052746F" w:rsidRPr="00816A59">
        <w:rPr>
          <w:rFonts w:ascii="Times New Roman" w:hAnsi="Times New Roman" w:cs="Times New Roman"/>
          <w:sz w:val="24"/>
          <w:szCs w:val="24"/>
        </w:rPr>
        <w:t xml:space="preserve"> – 12,3% (</w:t>
      </w:r>
      <w:r w:rsidR="00B410C4" w:rsidRPr="00816A59">
        <w:rPr>
          <w:rFonts w:ascii="Times New Roman" w:hAnsi="Times New Roman" w:cs="Times New Roman"/>
          <w:sz w:val="24"/>
          <w:szCs w:val="24"/>
        </w:rPr>
        <w:t>województwo m</w:t>
      </w:r>
      <w:r w:rsidR="00033CCC" w:rsidRPr="00816A59">
        <w:rPr>
          <w:rFonts w:ascii="Times New Roman" w:hAnsi="Times New Roman" w:cs="Times New Roman"/>
          <w:sz w:val="24"/>
          <w:szCs w:val="24"/>
        </w:rPr>
        <w:t>azo</w:t>
      </w:r>
      <w:r w:rsidR="0052746F" w:rsidRPr="00816A59">
        <w:rPr>
          <w:rFonts w:ascii="Times New Roman" w:hAnsi="Times New Roman" w:cs="Times New Roman"/>
          <w:sz w:val="24"/>
          <w:szCs w:val="24"/>
        </w:rPr>
        <w:t>wieckie – 22,4</w:t>
      </w:r>
      <w:r w:rsidR="00033CCC" w:rsidRPr="00816A59">
        <w:rPr>
          <w:rFonts w:ascii="Times New Roman" w:hAnsi="Times New Roman" w:cs="Times New Roman"/>
          <w:sz w:val="24"/>
          <w:szCs w:val="24"/>
        </w:rPr>
        <w:t xml:space="preserve">%). </w:t>
      </w:r>
      <w:r w:rsidR="00F46F95" w:rsidRPr="00816A59">
        <w:rPr>
          <w:rFonts w:ascii="Times New Roman" w:hAnsi="Times New Roman" w:cs="Times New Roman"/>
          <w:sz w:val="24"/>
          <w:szCs w:val="24"/>
        </w:rPr>
        <w:t xml:space="preserve">Natomiast najniższe wartości tych </w:t>
      </w:r>
      <w:r w:rsidR="00393722" w:rsidRPr="00816A59">
        <w:rPr>
          <w:rFonts w:ascii="Times New Roman" w:hAnsi="Times New Roman" w:cs="Times New Roman"/>
          <w:sz w:val="24"/>
          <w:szCs w:val="24"/>
        </w:rPr>
        <w:t>udziałów</w:t>
      </w:r>
      <w:r w:rsidR="00F46F95" w:rsidRPr="00816A59">
        <w:rPr>
          <w:rFonts w:ascii="Times New Roman" w:hAnsi="Times New Roman" w:cs="Times New Roman"/>
          <w:sz w:val="24"/>
          <w:szCs w:val="24"/>
        </w:rPr>
        <w:t xml:space="preserve"> </w:t>
      </w:r>
      <w:r w:rsidR="00F75BD6" w:rsidRPr="00816A59">
        <w:rPr>
          <w:rFonts w:ascii="Times New Roman" w:hAnsi="Times New Roman" w:cs="Times New Roman"/>
          <w:sz w:val="24"/>
          <w:szCs w:val="24"/>
        </w:rPr>
        <w:t xml:space="preserve">zanotowano </w:t>
      </w:r>
      <w:r w:rsidR="00B410C4" w:rsidRPr="00816A59">
        <w:rPr>
          <w:rFonts w:ascii="Times New Roman" w:hAnsi="Times New Roman" w:cs="Times New Roman"/>
          <w:sz w:val="24"/>
          <w:szCs w:val="24"/>
        </w:rPr>
        <w:t>w województw</w:t>
      </w:r>
      <w:r w:rsidR="002F0E55" w:rsidRPr="00816A59">
        <w:rPr>
          <w:rFonts w:ascii="Times New Roman" w:hAnsi="Times New Roman" w:cs="Times New Roman"/>
          <w:sz w:val="24"/>
          <w:szCs w:val="24"/>
        </w:rPr>
        <w:t>ach:</w:t>
      </w:r>
      <w:r w:rsidR="00B410C4" w:rsidRPr="00816A59">
        <w:rPr>
          <w:rFonts w:ascii="Times New Roman" w:hAnsi="Times New Roman" w:cs="Times New Roman"/>
          <w:sz w:val="24"/>
          <w:szCs w:val="24"/>
        </w:rPr>
        <w:t xml:space="preserve"> opolskim </w:t>
      </w:r>
      <w:r w:rsidR="00F46F95" w:rsidRPr="00816A59">
        <w:rPr>
          <w:rFonts w:ascii="Times New Roman" w:hAnsi="Times New Roman" w:cs="Times New Roman"/>
          <w:sz w:val="24"/>
          <w:szCs w:val="24"/>
        </w:rPr>
        <w:t xml:space="preserve">(2,4% </w:t>
      </w:r>
      <w:r w:rsidR="00F75BD6" w:rsidRPr="00816A59">
        <w:rPr>
          <w:rFonts w:ascii="Times New Roman" w:hAnsi="Times New Roman" w:cs="Times New Roman"/>
          <w:sz w:val="24"/>
          <w:szCs w:val="24"/>
        </w:rPr>
        <w:t>–</w:t>
      </w:r>
      <w:r w:rsidR="00F46F95" w:rsidRPr="00816A59">
        <w:rPr>
          <w:rFonts w:ascii="Times New Roman" w:hAnsi="Times New Roman" w:cs="Times New Roman"/>
          <w:sz w:val="24"/>
          <w:szCs w:val="24"/>
        </w:rPr>
        <w:t xml:space="preserve"> dla dojazdów trwają</w:t>
      </w:r>
      <w:r w:rsidR="00395566" w:rsidRPr="00816A59">
        <w:rPr>
          <w:rFonts w:ascii="Times New Roman" w:hAnsi="Times New Roman" w:cs="Times New Roman"/>
          <w:sz w:val="24"/>
          <w:szCs w:val="24"/>
        </w:rPr>
        <w:t xml:space="preserve">cych do 30 min </w:t>
      </w:r>
      <w:r w:rsidR="000B6A8E" w:rsidRPr="00816A59">
        <w:rPr>
          <w:rFonts w:ascii="Times New Roman" w:hAnsi="Times New Roman" w:cs="Times New Roman"/>
          <w:sz w:val="24"/>
          <w:szCs w:val="24"/>
        </w:rPr>
        <w:t>i 1,7% –</w:t>
      </w:r>
      <w:r w:rsidR="00F46F95" w:rsidRPr="00816A59">
        <w:rPr>
          <w:rFonts w:ascii="Times New Roman" w:hAnsi="Times New Roman" w:cs="Times New Roman"/>
          <w:sz w:val="24"/>
          <w:szCs w:val="24"/>
        </w:rPr>
        <w:t xml:space="preserve"> ponad 2 godziny)</w:t>
      </w:r>
      <w:r w:rsidR="007F4F02" w:rsidRPr="00816A59">
        <w:rPr>
          <w:rFonts w:ascii="Times New Roman" w:hAnsi="Times New Roman" w:cs="Times New Roman"/>
          <w:sz w:val="24"/>
          <w:szCs w:val="24"/>
        </w:rPr>
        <w:t xml:space="preserve">, </w:t>
      </w:r>
      <w:r w:rsidR="00F46F95" w:rsidRPr="00816A59">
        <w:rPr>
          <w:rFonts w:ascii="Times New Roman" w:hAnsi="Times New Roman" w:cs="Times New Roman"/>
          <w:sz w:val="24"/>
          <w:szCs w:val="24"/>
        </w:rPr>
        <w:t xml:space="preserve"> </w:t>
      </w:r>
      <w:r w:rsidR="007A7611" w:rsidRPr="00816A59">
        <w:rPr>
          <w:rFonts w:ascii="Times New Roman" w:hAnsi="Times New Roman" w:cs="Times New Roman"/>
          <w:sz w:val="24"/>
          <w:szCs w:val="24"/>
        </w:rPr>
        <w:t xml:space="preserve">lubuskim </w:t>
      </w:r>
      <w:r w:rsidR="002F0E55" w:rsidRPr="00816A59">
        <w:rPr>
          <w:rFonts w:ascii="Times New Roman" w:hAnsi="Times New Roman" w:cs="Times New Roman"/>
          <w:sz w:val="24"/>
          <w:szCs w:val="24"/>
        </w:rPr>
        <w:t xml:space="preserve">i opolskim </w:t>
      </w:r>
      <w:r w:rsidR="007A7611" w:rsidRPr="00816A59">
        <w:rPr>
          <w:rFonts w:ascii="Times New Roman" w:hAnsi="Times New Roman" w:cs="Times New Roman"/>
          <w:sz w:val="24"/>
          <w:szCs w:val="24"/>
        </w:rPr>
        <w:t xml:space="preserve">(1,5% – od 31 min do 1 godziny) </w:t>
      </w:r>
      <w:r w:rsidR="00F46F95" w:rsidRPr="00816A59">
        <w:rPr>
          <w:rFonts w:ascii="Times New Roman" w:hAnsi="Times New Roman" w:cs="Times New Roman"/>
          <w:sz w:val="24"/>
          <w:szCs w:val="24"/>
        </w:rPr>
        <w:t xml:space="preserve">oraz </w:t>
      </w:r>
      <w:r w:rsidR="007A7611" w:rsidRPr="00816A59">
        <w:rPr>
          <w:rFonts w:ascii="Times New Roman" w:hAnsi="Times New Roman" w:cs="Times New Roman"/>
          <w:sz w:val="24"/>
          <w:szCs w:val="24"/>
        </w:rPr>
        <w:t xml:space="preserve">w </w:t>
      </w:r>
      <w:r w:rsidR="00F46F95" w:rsidRPr="00816A59">
        <w:rPr>
          <w:rFonts w:ascii="Times New Roman" w:hAnsi="Times New Roman" w:cs="Times New Roman"/>
          <w:sz w:val="24"/>
          <w:szCs w:val="24"/>
        </w:rPr>
        <w:t>w</w:t>
      </w:r>
      <w:r w:rsidR="00B410C4" w:rsidRPr="00816A59">
        <w:rPr>
          <w:rFonts w:ascii="Times New Roman" w:hAnsi="Times New Roman" w:cs="Times New Roman"/>
          <w:sz w:val="24"/>
          <w:szCs w:val="24"/>
        </w:rPr>
        <w:t>ojewództwach: l</w:t>
      </w:r>
      <w:r w:rsidR="00F46F95" w:rsidRPr="00816A59">
        <w:rPr>
          <w:rFonts w:ascii="Times New Roman" w:hAnsi="Times New Roman" w:cs="Times New Roman"/>
          <w:sz w:val="24"/>
          <w:szCs w:val="24"/>
        </w:rPr>
        <w:t>ubu</w:t>
      </w:r>
      <w:r w:rsidR="00B410C4" w:rsidRPr="00816A59">
        <w:rPr>
          <w:rFonts w:ascii="Times New Roman" w:hAnsi="Times New Roman" w:cs="Times New Roman"/>
          <w:sz w:val="24"/>
          <w:szCs w:val="24"/>
        </w:rPr>
        <w:t>ski</w:t>
      </w:r>
      <w:r w:rsidR="00F46F95" w:rsidRPr="00816A59">
        <w:rPr>
          <w:rFonts w:ascii="Times New Roman" w:hAnsi="Times New Roman" w:cs="Times New Roman"/>
          <w:sz w:val="24"/>
          <w:szCs w:val="24"/>
        </w:rPr>
        <w:t xml:space="preserve">m i </w:t>
      </w:r>
      <w:r w:rsidR="00B410C4" w:rsidRPr="00816A59">
        <w:rPr>
          <w:rFonts w:ascii="Times New Roman" w:hAnsi="Times New Roman" w:cs="Times New Roman"/>
          <w:sz w:val="24"/>
          <w:szCs w:val="24"/>
        </w:rPr>
        <w:t>p</w:t>
      </w:r>
      <w:r w:rsidR="00F46F95" w:rsidRPr="00816A59">
        <w:rPr>
          <w:rFonts w:ascii="Times New Roman" w:hAnsi="Times New Roman" w:cs="Times New Roman"/>
          <w:sz w:val="24"/>
          <w:szCs w:val="24"/>
        </w:rPr>
        <w:t>odla</w:t>
      </w:r>
      <w:r w:rsidR="00B410C4" w:rsidRPr="00816A59">
        <w:rPr>
          <w:rFonts w:ascii="Times New Roman" w:hAnsi="Times New Roman" w:cs="Times New Roman"/>
          <w:sz w:val="24"/>
          <w:szCs w:val="24"/>
        </w:rPr>
        <w:t xml:space="preserve">skim </w:t>
      </w:r>
      <w:r w:rsidR="00816A59">
        <w:rPr>
          <w:rFonts w:ascii="Times New Roman" w:hAnsi="Times New Roman" w:cs="Times New Roman"/>
          <w:sz w:val="24"/>
          <w:szCs w:val="24"/>
        </w:rPr>
        <w:t>(po 1,0% w </w:t>
      </w:r>
      <w:r w:rsidR="00F46F95" w:rsidRPr="00816A59">
        <w:rPr>
          <w:rFonts w:ascii="Times New Roman" w:hAnsi="Times New Roman" w:cs="Times New Roman"/>
          <w:sz w:val="24"/>
          <w:szCs w:val="24"/>
        </w:rPr>
        <w:t>przypadku dojazdów zabieraj</w:t>
      </w:r>
      <w:r w:rsidR="001507E1" w:rsidRPr="00816A59">
        <w:rPr>
          <w:rFonts w:ascii="Times New Roman" w:hAnsi="Times New Roman" w:cs="Times New Roman"/>
          <w:sz w:val="24"/>
          <w:szCs w:val="24"/>
        </w:rPr>
        <w:t>ących od 61 do 120 minut czasu)</w:t>
      </w:r>
      <w:r w:rsidR="00476BB9" w:rsidRPr="00816A59">
        <w:rPr>
          <w:rFonts w:ascii="Times New Roman" w:hAnsi="Times New Roman" w:cs="Times New Roman"/>
          <w:sz w:val="24"/>
          <w:szCs w:val="24"/>
        </w:rPr>
        <w:t>.</w:t>
      </w:r>
    </w:p>
    <w:p w:rsidR="00033CCC" w:rsidRPr="006A2F2C" w:rsidRDefault="002615D5" w:rsidP="006A2F2C">
      <w:pPr>
        <w:pStyle w:val="tekstgl"/>
        <w:spacing w:after="0" w:line="360" w:lineRule="auto"/>
        <w:ind w:firstLine="709"/>
        <w:rPr>
          <w:rFonts w:ascii="Times New Roman" w:hAnsi="Times New Roman" w:cs="Times New Roman"/>
          <w:sz w:val="24"/>
          <w:szCs w:val="24"/>
        </w:rPr>
      </w:pPr>
      <w:r>
        <w:rPr>
          <w:rFonts w:ascii="Times New Roman" w:hAnsi="Times New Roman" w:cs="Times New Roman"/>
          <w:sz w:val="24"/>
          <w:szCs w:val="24"/>
        </w:rPr>
        <w:t>Warto w tym miejscu zwrócić uwagę na w</w:t>
      </w:r>
      <w:r w:rsidR="00F13062" w:rsidRPr="006A2F2C">
        <w:rPr>
          <w:rFonts w:ascii="Times New Roman" w:hAnsi="Times New Roman" w:cs="Times New Roman"/>
          <w:sz w:val="24"/>
          <w:szCs w:val="24"/>
        </w:rPr>
        <w:t>ewnętrzne struktury poszczególnych</w:t>
      </w:r>
      <w:r w:rsidR="00033CCC" w:rsidRPr="006A2F2C">
        <w:rPr>
          <w:rFonts w:ascii="Times New Roman" w:hAnsi="Times New Roman" w:cs="Times New Roman"/>
          <w:sz w:val="24"/>
          <w:szCs w:val="24"/>
        </w:rPr>
        <w:t xml:space="preserve"> województw</w:t>
      </w:r>
      <w:r>
        <w:rPr>
          <w:rFonts w:ascii="Times New Roman" w:hAnsi="Times New Roman" w:cs="Times New Roman"/>
          <w:sz w:val="24"/>
          <w:szCs w:val="24"/>
        </w:rPr>
        <w:t xml:space="preserve"> w zakresie czasu</w:t>
      </w:r>
      <w:r w:rsidR="00B36556">
        <w:rPr>
          <w:rFonts w:ascii="Times New Roman" w:hAnsi="Times New Roman" w:cs="Times New Roman"/>
          <w:sz w:val="24"/>
          <w:szCs w:val="24"/>
        </w:rPr>
        <w:t xml:space="preserve"> dojazdu do pracy mieszkańców tych województw</w:t>
      </w:r>
      <w:r w:rsidR="00033CCC" w:rsidRPr="006A2F2C">
        <w:rPr>
          <w:rFonts w:ascii="Times New Roman" w:hAnsi="Times New Roman" w:cs="Times New Roman"/>
          <w:sz w:val="24"/>
          <w:szCs w:val="24"/>
        </w:rPr>
        <w:t xml:space="preserve">. Największy </w:t>
      </w:r>
      <w:r w:rsidR="00393722" w:rsidRPr="006A2F2C">
        <w:rPr>
          <w:rFonts w:ascii="Times New Roman" w:hAnsi="Times New Roman" w:cs="Times New Roman"/>
          <w:sz w:val="24"/>
          <w:szCs w:val="24"/>
        </w:rPr>
        <w:t>udział</w:t>
      </w:r>
      <w:r w:rsidR="00033CCC" w:rsidRPr="006A2F2C">
        <w:rPr>
          <w:rFonts w:ascii="Times New Roman" w:hAnsi="Times New Roman" w:cs="Times New Roman"/>
          <w:sz w:val="24"/>
          <w:szCs w:val="24"/>
        </w:rPr>
        <w:t xml:space="preserve"> </w:t>
      </w:r>
      <w:r w:rsidR="00F75BD6" w:rsidRPr="006A2F2C">
        <w:rPr>
          <w:rFonts w:ascii="Times New Roman" w:hAnsi="Times New Roman" w:cs="Times New Roman"/>
          <w:sz w:val="24"/>
          <w:szCs w:val="24"/>
        </w:rPr>
        <w:t xml:space="preserve">mieszkańców </w:t>
      </w:r>
      <w:r w:rsidR="00033CCC" w:rsidRPr="006A2F2C">
        <w:rPr>
          <w:rFonts w:ascii="Times New Roman" w:hAnsi="Times New Roman" w:cs="Times New Roman"/>
          <w:sz w:val="24"/>
          <w:szCs w:val="24"/>
        </w:rPr>
        <w:t xml:space="preserve">dojeżdżających do pracy </w:t>
      </w:r>
      <w:r w:rsidR="0070129B" w:rsidRPr="006A2F2C">
        <w:rPr>
          <w:rFonts w:ascii="Times New Roman" w:hAnsi="Times New Roman" w:cs="Times New Roman"/>
          <w:sz w:val="24"/>
          <w:szCs w:val="24"/>
        </w:rPr>
        <w:t>w</w:t>
      </w:r>
      <w:r w:rsidR="00033CCC" w:rsidRPr="006A2F2C">
        <w:rPr>
          <w:rFonts w:ascii="Times New Roman" w:hAnsi="Times New Roman" w:cs="Times New Roman"/>
          <w:sz w:val="24"/>
          <w:szCs w:val="24"/>
        </w:rPr>
        <w:t xml:space="preserve"> najkrót</w:t>
      </w:r>
      <w:r w:rsidR="0070129B" w:rsidRPr="006A2F2C">
        <w:rPr>
          <w:rFonts w:ascii="Times New Roman" w:hAnsi="Times New Roman" w:cs="Times New Roman"/>
          <w:sz w:val="24"/>
          <w:szCs w:val="24"/>
        </w:rPr>
        <w:t>szym czasie</w:t>
      </w:r>
      <w:r w:rsidR="00033CCC" w:rsidRPr="006A2F2C">
        <w:rPr>
          <w:rFonts w:ascii="Times New Roman" w:hAnsi="Times New Roman" w:cs="Times New Roman"/>
          <w:sz w:val="24"/>
          <w:szCs w:val="24"/>
        </w:rPr>
        <w:t xml:space="preserve"> (</w:t>
      </w:r>
      <w:r w:rsidR="0070129B" w:rsidRPr="006A2F2C">
        <w:rPr>
          <w:rFonts w:ascii="Times New Roman" w:hAnsi="Times New Roman" w:cs="Times New Roman"/>
          <w:sz w:val="24"/>
          <w:szCs w:val="24"/>
        </w:rPr>
        <w:t xml:space="preserve">do 30 </w:t>
      </w:r>
      <w:r w:rsidR="00033CCC" w:rsidRPr="006A2F2C">
        <w:rPr>
          <w:rFonts w:ascii="Times New Roman" w:hAnsi="Times New Roman" w:cs="Times New Roman"/>
          <w:sz w:val="24"/>
          <w:szCs w:val="24"/>
        </w:rPr>
        <w:t>m</w:t>
      </w:r>
      <w:r w:rsidR="0070129B" w:rsidRPr="006A2F2C">
        <w:rPr>
          <w:rFonts w:ascii="Times New Roman" w:hAnsi="Times New Roman" w:cs="Times New Roman"/>
          <w:sz w:val="24"/>
          <w:szCs w:val="24"/>
        </w:rPr>
        <w:t>inut</w:t>
      </w:r>
      <w:r w:rsidR="00033CCC" w:rsidRPr="006A2F2C">
        <w:rPr>
          <w:rFonts w:ascii="Times New Roman" w:hAnsi="Times New Roman" w:cs="Times New Roman"/>
          <w:sz w:val="24"/>
          <w:szCs w:val="24"/>
        </w:rPr>
        <w:t xml:space="preserve">) wykazuje bowiem województwo </w:t>
      </w:r>
      <w:r w:rsidR="0070129B" w:rsidRPr="006A2F2C">
        <w:rPr>
          <w:rFonts w:ascii="Times New Roman" w:hAnsi="Times New Roman" w:cs="Times New Roman"/>
          <w:sz w:val="24"/>
          <w:szCs w:val="24"/>
        </w:rPr>
        <w:t>lubuskie (</w:t>
      </w:r>
      <w:r w:rsidR="00033CCC" w:rsidRPr="006A2F2C">
        <w:rPr>
          <w:rFonts w:ascii="Times New Roman" w:hAnsi="Times New Roman" w:cs="Times New Roman"/>
          <w:sz w:val="24"/>
          <w:szCs w:val="24"/>
        </w:rPr>
        <w:t>8</w:t>
      </w:r>
      <w:r w:rsidR="0070129B" w:rsidRPr="006A2F2C">
        <w:rPr>
          <w:rFonts w:ascii="Times New Roman" w:hAnsi="Times New Roman" w:cs="Times New Roman"/>
          <w:sz w:val="24"/>
          <w:szCs w:val="24"/>
        </w:rPr>
        <w:t>1,7</w:t>
      </w:r>
      <w:r w:rsidR="00033CCC" w:rsidRPr="006A2F2C">
        <w:rPr>
          <w:rFonts w:ascii="Times New Roman" w:hAnsi="Times New Roman" w:cs="Times New Roman"/>
          <w:sz w:val="24"/>
          <w:szCs w:val="24"/>
        </w:rPr>
        <w:t>%), zaś najmniej</w:t>
      </w:r>
      <w:r w:rsidR="0070129B" w:rsidRPr="006A2F2C">
        <w:rPr>
          <w:rFonts w:ascii="Times New Roman" w:hAnsi="Times New Roman" w:cs="Times New Roman"/>
          <w:sz w:val="24"/>
          <w:szCs w:val="24"/>
        </w:rPr>
        <w:t>szy</w:t>
      </w:r>
      <w:r w:rsidR="00033CCC" w:rsidRPr="006A2F2C">
        <w:rPr>
          <w:rFonts w:ascii="Times New Roman" w:hAnsi="Times New Roman" w:cs="Times New Roman"/>
          <w:sz w:val="24"/>
          <w:szCs w:val="24"/>
        </w:rPr>
        <w:t xml:space="preserve"> – </w:t>
      </w:r>
      <w:r w:rsidR="00A20316" w:rsidRPr="006A2F2C">
        <w:rPr>
          <w:rFonts w:ascii="Times New Roman" w:hAnsi="Times New Roman" w:cs="Times New Roman"/>
          <w:sz w:val="24"/>
          <w:szCs w:val="24"/>
        </w:rPr>
        <w:t xml:space="preserve">województwo </w:t>
      </w:r>
      <w:r w:rsidR="00033CCC" w:rsidRPr="006A2F2C">
        <w:rPr>
          <w:rFonts w:ascii="Times New Roman" w:hAnsi="Times New Roman" w:cs="Times New Roman"/>
          <w:sz w:val="24"/>
          <w:szCs w:val="24"/>
        </w:rPr>
        <w:t>ma</w:t>
      </w:r>
      <w:r w:rsidR="00495046" w:rsidRPr="006A2F2C">
        <w:rPr>
          <w:rFonts w:ascii="Times New Roman" w:hAnsi="Times New Roman" w:cs="Times New Roman"/>
          <w:sz w:val="24"/>
          <w:szCs w:val="24"/>
        </w:rPr>
        <w:t>zowieckie (5</w:t>
      </w:r>
      <w:r w:rsidR="00F75BD6" w:rsidRPr="006A2F2C">
        <w:rPr>
          <w:rFonts w:ascii="Times New Roman" w:hAnsi="Times New Roman" w:cs="Times New Roman"/>
          <w:sz w:val="24"/>
          <w:szCs w:val="24"/>
        </w:rPr>
        <w:t>4</w:t>
      </w:r>
      <w:r w:rsidR="00495046" w:rsidRPr="006A2F2C">
        <w:rPr>
          <w:rFonts w:ascii="Times New Roman" w:hAnsi="Times New Roman" w:cs="Times New Roman"/>
          <w:sz w:val="24"/>
          <w:szCs w:val="24"/>
        </w:rPr>
        <w:t>,1</w:t>
      </w:r>
      <w:r w:rsidR="00033CCC" w:rsidRPr="006A2F2C">
        <w:rPr>
          <w:rFonts w:ascii="Times New Roman" w:hAnsi="Times New Roman" w:cs="Times New Roman"/>
          <w:sz w:val="24"/>
          <w:szCs w:val="24"/>
        </w:rPr>
        <w:t>%).</w:t>
      </w:r>
      <w:r w:rsidR="0070129B" w:rsidRPr="006A2F2C">
        <w:rPr>
          <w:rFonts w:ascii="Times New Roman" w:hAnsi="Times New Roman" w:cs="Times New Roman"/>
          <w:sz w:val="24"/>
          <w:szCs w:val="24"/>
        </w:rPr>
        <w:t xml:space="preserve"> </w:t>
      </w:r>
      <w:r w:rsidR="00033CCC" w:rsidRPr="006A2F2C">
        <w:rPr>
          <w:rFonts w:ascii="Times New Roman" w:hAnsi="Times New Roman" w:cs="Times New Roman"/>
          <w:sz w:val="24"/>
          <w:szCs w:val="24"/>
        </w:rPr>
        <w:t>Z ko</w:t>
      </w:r>
      <w:r w:rsidR="0070129B" w:rsidRPr="006A2F2C">
        <w:rPr>
          <w:rFonts w:ascii="Times New Roman" w:hAnsi="Times New Roman" w:cs="Times New Roman"/>
          <w:sz w:val="24"/>
          <w:szCs w:val="24"/>
        </w:rPr>
        <w:t>lei wśród dojeżdżaj</w:t>
      </w:r>
      <w:r w:rsidR="00F75BD6" w:rsidRPr="006A2F2C">
        <w:rPr>
          <w:rFonts w:ascii="Times New Roman" w:hAnsi="Times New Roman" w:cs="Times New Roman"/>
          <w:sz w:val="24"/>
          <w:szCs w:val="24"/>
        </w:rPr>
        <w:t>ących, którym zajmowało</w:t>
      </w:r>
      <w:r w:rsidR="0070129B" w:rsidRPr="006A2F2C">
        <w:rPr>
          <w:rFonts w:ascii="Times New Roman" w:hAnsi="Times New Roman" w:cs="Times New Roman"/>
          <w:sz w:val="24"/>
          <w:szCs w:val="24"/>
        </w:rPr>
        <w:t xml:space="preserve"> to od 31 do 60 minut</w:t>
      </w:r>
      <w:r w:rsidR="00C53340" w:rsidRPr="006A2F2C">
        <w:rPr>
          <w:rFonts w:ascii="Times New Roman" w:hAnsi="Times New Roman" w:cs="Times New Roman"/>
          <w:sz w:val="24"/>
          <w:szCs w:val="24"/>
        </w:rPr>
        <w:t>,</w:t>
      </w:r>
      <w:r w:rsidR="0070129B" w:rsidRPr="006A2F2C">
        <w:rPr>
          <w:rFonts w:ascii="Times New Roman" w:hAnsi="Times New Roman" w:cs="Times New Roman"/>
          <w:sz w:val="24"/>
          <w:szCs w:val="24"/>
        </w:rPr>
        <w:t xml:space="preserve"> </w:t>
      </w:r>
      <w:r w:rsidR="00F75BD6" w:rsidRPr="006A2F2C">
        <w:rPr>
          <w:rFonts w:ascii="Times New Roman" w:hAnsi="Times New Roman" w:cs="Times New Roman"/>
          <w:sz w:val="24"/>
          <w:szCs w:val="24"/>
        </w:rPr>
        <w:t>dominowało</w:t>
      </w:r>
      <w:r w:rsidR="00033CCC" w:rsidRPr="006A2F2C">
        <w:rPr>
          <w:rFonts w:ascii="Times New Roman" w:hAnsi="Times New Roman" w:cs="Times New Roman"/>
          <w:sz w:val="24"/>
          <w:szCs w:val="24"/>
        </w:rPr>
        <w:t xml:space="preserve"> wojewódz</w:t>
      </w:r>
      <w:r w:rsidR="0070129B" w:rsidRPr="006A2F2C">
        <w:rPr>
          <w:rFonts w:ascii="Times New Roman" w:hAnsi="Times New Roman" w:cs="Times New Roman"/>
          <w:sz w:val="24"/>
          <w:szCs w:val="24"/>
        </w:rPr>
        <w:t>two mazowieckie (31,6</w:t>
      </w:r>
      <w:r w:rsidR="00033CCC" w:rsidRPr="006A2F2C">
        <w:rPr>
          <w:rFonts w:ascii="Times New Roman" w:hAnsi="Times New Roman" w:cs="Times New Roman"/>
          <w:sz w:val="24"/>
          <w:szCs w:val="24"/>
        </w:rPr>
        <w:t>%), a naj</w:t>
      </w:r>
      <w:r w:rsidR="00C2127D" w:rsidRPr="006A2F2C">
        <w:rPr>
          <w:rFonts w:ascii="Times New Roman" w:hAnsi="Times New Roman" w:cs="Times New Roman"/>
          <w:sz w:val="24"/>
          <w:szCs w:val="24"/>
        </w:rPr>
        <w:t>mniejszy</w:t>
      </w:r>
      <w:r w:rsidR="00033CCC" w:rsidRPr="006A2F2C">
        <w:rPr>
          <w:rFonts w:ascii="Times New Roman" w:hAnsi="Times New Roman" w:cs="Times New Roman"/>
          <w:sz w:val="24"/>
          <w:szCs w:val="24"/>
        </w:rPr>
        <w:t xml:space="preserve"> </w:t>
      </w:r>
      <w:r w:rsidR="00393722" w:rsidRPr="006A2F2C">
        <w:rPr>
          <w:rFonts w:ascii="Times New Roman" w:hAnsi="Times New Roman" w:cs="Times New Roman"/>
          <w:sz w:val="24"/>
          <w:szCs w:val="24"/>
        </w:rPr>
        <w:t>udział</w:t>
      </w:r>
      <w:r w:rsidR="00033CCC" w:rsidRPr="006A2F2C">
        <w:rPr>
          <w:rFonts w:ascii="Times New Roman" w:hAnsi="Times New Roman" w:cs="Times New Roman"/>
          <w:sz w:val="24"/>
          <w:szCs w:val="24"/>
        </w:rPr>
        <w:t xml:space="preserve"> dojeżdżających </w:t>
      </w:r>
      <w:r w:rsidR="00816A59">
        <w:rPr>
          <w:rFonts w:ascii="Times New Roman" w:hAnsi="Times New Roman" w:cs="Times New Roman"/>
          <w:sz w:val="24"/>
          <w:szCs w:val="24"/>
        </w:rPr>
        <w:t>w </w:t>
      </w:r>
      <w:r w:rsidR="0070129B" w:rsidRPr="006A2F2C">
        <w:rPr>
          <w:rFonts w:ascii="Times New Roman" w:hAnsi="Times New Roman" w:cs="Times New Roman"/>
          <w:sz w:val="24"/>
          <w:szCs w:val="24"/>
        </w:rPr>
        <w:t>takim czasie</w:t>
      </w:r>
      <w:r w:rsidR="00033CCC" w:rsidRPr="006A2F2C">
        <w:rPr>
          <w:rFonts w:ascii="Times New Roman" w:hAnsi="Times New Roman" w:cs="Times New Roman"/>
          <w:sz w:val="24"/>
          <w:szCs w:val="24"/>
        </w:rPr>
        <w:t xml:space="preserve"> </w:t>
      </w:r>
      <w:r w:rsidR="00F75BD6" w:rsidRPr="006A2F2C">
        <w:rPr>
          <w:rFonts w:ascii="Times New Roman" w:hAnsi="Times New Roman" w:cs="Times New Roman"/>
          <w:sz w:val="24"/>
          <w:szCs w:val="24"/>
        </w:rPr>
        <w:t xml:space="preserve">mieszkańców </w:t>
      </w:r>
      <w:r w:rsidR="00033CCC" w:rsidRPr="006A2F2C">
        <w:rPr>
          <w:rFonts w:ascii="Times New Roman" w:hAnsi="Times New Roman" w:cs="Times New Roman"/>
          <w:sz w:val="24"/>
          <w:szCs w:val="24"/>
        </w:rPr>
        <w:t xml:space="preserve">zaobserwowano w województwie </w:t>
      </w:r>
      <w:r w:rsidR="0070129B" w:rsidRPr="006A2F2C">
        <w:rPr>
          <w:rFonts w:ascii="Times New Roman" w:hAnsi="Times New Roman" w:cs="Times New Roman"/>
          <w:sz w:val="24"/>
          <w:szCs w:val="24"/>
        </w:rPr>
        <w:t>lubuskim (14,5</w:t>
      </w:r>
      <w:r w:rsidR="00816A59">
        <w:rPr>
          <w:rFonts w:ascii="Times New Roman" w:hAnsi="Times New Roman" w:cs="Times New Roman"/>
          <w:sz w:val="24"/>
          <w:szCs w:val="24"/>
        </w:rPr>
        <w:t>%). W </w:t>
      </w:r>
      <w:r w:rsidR="00033CCC" w:rsidRPr="006A2F2C">
        <w:rPr>
          <w:rFonts w:ascii="Times New Roman" w:hAnsi="Times New Roman" w:cs="Times New Roman"/>
          <w:sz w:val="24"/>
          <w:szCs w:val="24"/>
        </w:rPr>
        <w:t>przypadku do</w:t>
      </w:r>
      <w:r w:rsidR="003B5420" w:rsidRPr="006A2F2C">
        <w:rPr>
          <w:rFonts w:ascii="Times New Roman" w:hAnsi="Times New Roman" w:cs="Times New Roman"/>
          <w:sz w:val="24"/>
          <w:szCs w:val="24"/>
        </w:rPr>
        <w:t xml:space="preserve">jazdów do pracy trwających od 61 do 120 </w:t>
      </w:r>
      <w:r w:rsidR="00033CCC" w:rsidRPr="006A2F2C">
        <w:rPr>
          <w:rFonts w:ascii="Times New Roman" w:hAnsi="Times New Roman" w:cs="Times New Roman"/>
          <w:sz w:val="24"/>
          <w:szCs w:val="24"/>
        </w:rPr>
        <w:t>m</w:t>
      </w:r>
      <w:r w:rsidR="003B5420" w:rsidRPr="006A2F2C">
        <w:rPr>
          <w:rFonts w:ascii="Times New Roman" w:hAnsi="Times New Roman" w:cs="Times New Roman"/>
          <w:sz w:val="24"/>
          <w:szCs w:val="24"/>
        </w:rPr>
        <w:t>inut</w:t>
      </w:r>
      <w:r w:rsidR="00033CCC" w:rsidRPr="006A2F2C">
        <w:rPr>
          <w:rFonts w:ascii="Times New Roman" w:hAnsi="Times New Roman" w:cs="Times New Roman"/>
          <w:sz w:val="24"/>
          <w:szCs w:val="24"/>
        </w:rPr>
        <w:t xml:space="preserve"> przeważa </w:t>
      </w:r>
      <w:r w:rsidR="003B5420" w:rsidRPr="006A2F2C">
        <w:rPr>
          <w:rFonts w:ascii="Times New Roman" w:hAnsi="Times New Roman" w:cs="Times New Roman"/>
          <w:sz w:val="24"/>
          <w:szCs w:val="24"/>
        </w:rPr>
        <w:t xml:space="preserve">także </w:t>
      </w:r>
      <w:r w:rsidR="00A20316" w:rsidRPr="006A2F2C">
        <w:rPr>
          <w:rFonts w:ascii="Times New Roman" w:hAnsi="Times New Roman" w:cs="Times New Roman"/>
          <w:sz w:val="24"/>
          <w:szCs w:val="24"/>
        </w:rPr>
        <w:t xml:space="preserve">województwo mazowieckie </w:t>
      </w:r>
      <w:r w:rsidR="003B5420" w:rsidRPr="006A2F2C">
        <w:rPr>
          <w:rFonts w:ascii="Times New Roman" w:hAnsi="Times New Roman" w:cs="Times New Roman"/>
          <w:sz w:val="24"/>
          <w:szCs w:val="24"/>
        </w:rPr>
        <w:t>(12,4</w:t>
      </w:r>
      <w:r w:rsidR="002E4DD9" w:rsidRPr="006A2F2C">
        <w:rPr>
          <w:rFonts w:ascii="Times New Roman" w:hAnsi="Times New Roman" w:cs="Times New Roman"/>
          <w:sz w:val="24"/>
          <w:szCs w:val="24"/>
        </w:rPr>
        <w:t>%), zaś najniż</w:t>
      </w:r>
      <w:r w:rsidR="00033CCC" w:rsidRPr="006A2F2C">
        <w:rPr>
          <w:rFonts w:ascii="Times New Roman" w:hAnsi="Times New Roman" w:cs="Times New Roman"/>
          <w:sz w:val="24"/>
          <w:szCs w:val="24"/>
        </w:rPr>
        <w:t xml:space="preserve">szym </w:t>
      </w:r>
      <w:r w:rsidR="00393722" w:rsidRPr="006A2F2C">
        <w:rPr>
          <w:rFonts w:ascii="Times New Roman" w:hAnsi="Times New Roman" w:cs="Times New Roman"/>
          <w:sz w:val="24"/>
          <w:szCs w:val="24"/>
        </w:rPr>
        <w:t>udziałem</w:t>
      </w:r>
      <w:r w:rsidR="00033CCC" w:rsidRPr="006A2F2C">
        <w:rPr>
          <w:rFonts w:ascii="Times New Roman" w:hAnsi="Times New Roman" w:cs="Times New Roman"/>
          <w:sz w:val="24"/>
          <w:szCs w:val="24"/>
        </w:rPr>
        <w:t xml:space="preserve"> </w:t>
      </w:r>
      <w:r w:rsidR="009F1E75">
        <w:rPr>
          <w:rFonts w:ascii="Times New Roman" w:hAnsi="Times New Roman" w:cs="Times New Roman"/>
          <w:sz w:val="24"/>
          <w:szCs w:val="24"/>
        </w:rPr>
        <w:t>w </w:t>
      </w:r>
      <w:r w:rsidR="00987568" w:rsidRPr="006A2F2C">
        <w:rPr>
          <w:rFonts w:ascii="Times New Roman" w:hAnsi="Times New Roman" w:cs="Times New Roman"/>
          <w:sz w:val="24"/>
          <w:szCs w:val="24"/>
        </w:rPr>
        <w:t xml:space="preserve">tej mierze </w:t>
      </w:r>
      <w:r w:rsidR="00033CCC" w:rsidRPr="006A2F2C">
        <w:rPr>
          <w:rFonts w:ascii="Times New Roman" w:hAnsi="Times New Roman" w:cs="Times New Roman"/>
          <w:sz w:val="24"/>
          <w:szCs w:val="24"/>
        </w:rPr>
        <w:t>charakte</w:t>
      </w:r>
      <w:r w:rsidR="003B5420" w:rsidRPr="006A2F2C">
        <w:rPr>
          <w:rFonts w:ascii="Times New Roman" w:hAnsi="Times New Roman" w:cs="Times New Roman"/>
          <w:sz w:val="24"/>
          <w:szCs w:val="24"/>
        </w:rPr>
        <w:t>ryzują</w:t>
      </w:r>
      <w:r w:rsidR="00033CCC" w:rsidRPr="006A2F2C">
        <w:rPr>
          <w:rFonts w:ascii="Times New Roman" w:hAnsi="Times New Roman" w:cs="Times New Roman"/>
          <w:sz w:val="24"/>
          <w:szCs w:val="24"/>
        </w:rPr>
        <w:t xml:space="preserve"> się</w:t>
      </w:r>
      <w:r w:rsidR="00F75BD6" w:rsidRPr="006A2F2C">
        <w:rPr>
          <w:rFonts w:ascii="Times New Roman" w:hAnsi="Times New Roman" w:cs="Times New Roman"/>
          <w:sz w:val="24"/>
          <w:szCs w:val="24"/>
        </w:rPr>
        <w:t>:</w:t>
      </w:r>
      <w:r w:rsidR="00033CCC" w:rsidRPr="006A2F2C">
        <w:rPr>
          <w:rFonts w:ascii="Times New Roman" w:hAnsi="Times New Roman" w:cs="Times New Roman"/>
          <w:sz w:val="24"/>
          <w:szCs w:val="24"/>
        </w:rPr>
        <w:t xml:space="preserve"> </w:t>
      </w:r>
      <w:r w:rsidR="00A20316" w:rsidRPr="006A2F2C">
        <w:rPr>
          <w:rFonts w:ascii="Times New Roman" w:hAnsi="Times New Roman" w:cs="Times New Roman"/>
          <w:sz w:val="24"/>
          <w:szCs w:val="24"/>
        </w:rPr>
        <w:t>województwa: l</w:t>
      </w:r>
      <w:r w:rsidR="003B5420" w:rsidRPr="006A2F2C">
        <w:rPr>
          <w:rFonts w:ascii="Times New Roman" w:hAnsi="Times New Roman" w:cs="Times New Roman"/>
          <w:sz w:val="24"/>
          <w:szCs w:val="24"/>
        </w:rPr>
        <w:t xml:space="preserve">ubuskie i </w:t>
      </w:r>
      <w:r w:rsidR="00A20316" w:rsidRPr="006A2F2C">
        <w:rPr>
          <w:rFonts w:ascii="Times New Roman" w:hAnsi="Times New Roman" w:cs="Times New Roman"/>
          <w:sz w:val="24"/>
          <w:szCs w:val="24"/>
        </w:rPr>
        <w:t>p</w:t>
      </w:r>
      <w:r w:rsidR="00033CCC" w:rsidRPr="006A2F2C">
        <w:rPr>
          <w:rFonts w:ascii="Times New Roman" w:hAnsi="Times New Roman" w:cs="Times New Roman"/>
          <w:sz w:val="24"/>
          <w:szCs w:val="24"/>
        </w:rPr>
        <w:t>od</w:t>
      </w:r>
      <w:r w:rsidR="003B5420" w:rsidRPr="006A2F2C">
        <w:rPr>
          <w:rFonts w:ascii="Times New Roman" w:hAnsi="Times New Roman" w:cs="Times New Roman"/>
          <w:sz w:val="24"/>
          <w:szCs w:val="24"/>
        </w:rPr>
        <w:t>laskie</w:t>
      </w:r>
      <w:r w:rsidR="00033CCC" w:rsidRPr="006A2F2C">
        <w:rPr>
          <w:rFonts w:ascii="Times New Roman" w:hAnsi="Times New Roman" w:cs="Times New Roman"/>
          <w:sz w:val="24"/>
          <w:szCs w:val="24"/>
        </w:rPr>
        <w:t xml:space="preserve"> – </w:t>
      </w:r>
      <w:r w:rsidR="003B5420" w:rsidRPr="006A2F2C">
        <w:rPr>
          <w:rFonts w:ascii="Times New Roman" w:hAnsi="Times New Roman" w:cs="Times New Roman"/>
          <w:sz w:val="24"/>
          <w:szCs w:val="24"/>
        </w:rPr>
        <w:t>po 2,4</w:t>
      </w:r>
      <w:r w:rsidR="00033CCC" w:rsidRPr="006A2F2C">
        <w:rPr>
          <w:rFonts w:ascii="Times New Roman" w:hAnsi="Times New Roman" w:cs="Times New Roman"/>
          <w:sz w:val="24"/>
          <w:szCs w:val="24"/>
        </w:rPr>
        <w:t>%</w:t>
      </w:r>
      <w:r w:rsidR="003B5420" w:rsidRPr="006A2F2C">
        <w:rPr>
          <w:rFonts w:ascii="Times New Roman" w:hAnsi="Times New Roman" w:cs="Times New Roman"/>
          <w:sz w:val="24"/>
          <w:szCs w:val="24"/>
        </w:rPr>
        <w:t xml:space="preserve"> każde</w:t>
      </w:r>
      <w:r w:rsidR="00033CCC" w:rsidRPr="006A2F2C">
        <w:rPr>
          <w:rFonts w:ascii="Times New Roman" w:hAnsi="Times New Roman" w:cs="Times New Roman"/>
          <w:sz w:val="24"/>
          <w:szCs w:val="24"/>
        </w:rPr>
        <w:t>.</w:t>
      </w:r>
      <w:r w:rsidR="00C67A12" w:rsidRPr="006A2F2C">
        <w:rPr>
          <w:rFonts w:ascii="Times New Roman" w:hAnsi="Times New Roman" w:cs="Times New Roman"/>
          <w:sz w:val="24"/>
          <w:szCs w:val="24"/>
        </w:rPr>
        <w:t xml:space="preserve"> </w:t>
      </w:r>
      <w:r w:rsidR="00033CCC" w:rsidRPr="006A2F2C">
        <w:rPr>
          <w:rFonts w:ascii="Times New Roman" w:hAnsi="Times New Roman" w:cs="Times New Roman"/>
          <w:sz w:val="24"/>
          <w:szCs w:val="24"/>
        </w:rPr>
        <w:t xml:space="preserve">Z kolei </w:t>
      </w:r>
      <w:r w:rsidR="007B3E75" w:rsidRPr="006A2F2C">
        <w:rPr>
          <w:rFonts w:ascii="Times New Roman" w:hAnsi="Times New Roman" w:cs="Times New Roman"/>
          <w:sz w:val="24"/>
          <w:szCs w:val="24"/>
        </w:rPr>
        <w:t xml:space="preserve">największy udział </w:t>
      </w:r>
      <w:r w:rsidR="00D108BE" w:rsidRPr="006A2F2C">
        <w:rPr>
          <w:rFonts w:ascii="Times New Roman" w:hAnsi="Times New Roman" w:cs="Times New Roman"/>
          <w:sz w:val="24"/>
          <w:szCs w:val="24"/>
        </w:rPr>
        <w:t xml:space="preserve">dojeżdżających </w:t>
      </w:r>
      <w:r w:rsidR="00CA43F1" w:rsidRPr="006A2F2C">
        <w:rPr>
          <w:rFonts w:ascii="Times New Roman" w:hAnsi="Times New Roman" w:cs="Times New Roman"/>
          <w:sz w:val="24"/>
          <w:szCs w:val="24"/>
        </w:rPr>
        <w:t xml:space="preserve">najdłużej </w:t>
      </w:r>
      <w:r w:rsidR="00033CCC" w:rsidRPr="006A2F2C">
        <w:rPr>
          <w:rFonts w:ascii="Times New Roman" w:hAnsi="Times New Roman" w:cs="Times New Roman"/>
          <w:sz w:val="24"/>
          <w:szCs w:val="24"/>
        </w:rPr>
        <w:t>(</w:t>
      </w:r>
      <w:r w:rsidR="00CA43F1" w:rsidRPr="006A2F2C">
        <w:rPr>
          <w:rFonts w:ascii="Times New Roman" w:hAnsi="Times New Roman" w:cs="Times New Roman"/>
          <w:sz w:val="24"/>
          <w:szCs w:val="24"/>
        </w:rPr>
        <w:t>ponad 2 godziny</w:t>
      </w:r>
      <w:r w:rsidR="00033CCC" w:rsidRPr="006A2F2C">
        <w:rPr>
          <w:rFonts w:ascii="Times New Roman" w:hAnsi="Times New Roman" w:cs="Times New Roman"/>
          <w:sz w:val="24"/>
          <w:szCs w:val="24"/>
        </w:rPr>
        <w:t xml:space="preserve">) </w:t>
      </w:r>
      <w:r w:rsidR="007B3E75" w:rsidRPr="006A2F2C">
        <w:rPr>
          <w:rFonts w:ascii="Times New Roman" w:hAnsi="Times New Roman" w:cs="Times New Roman"/>
          <w:sz w:val="24"/>
          <w:szCs w:val="24"/>
        </w:rPr>
        <w:t xml:space="preserve">zaobserwowano w </w:t>
      </w:r>
      <w:r w:rsidR="00A20316" w:rsidRPr="006A2F2C">
        <w:rPr>
          <w:rFonts w:ascii="Times New Roman" w:hAnsi="Times New Roman" w:cs="Times New Roman"/>
          <w:sz w:val="24"/>
          <w:szCs w:val="24"/>
        </w:rPr>
        <w:t>województw</w:t>
      </w:r>
      <w:r w:rsidR="007B3E75" w:rsidRPr="006A2F2C">
        <w:rPr>
          <w:rFonts w:ascii="Times New Roman" w:hAnsi="Times New Roman" w:cs="Times New Roman"/>
          <w:sz w:val="24"/>
          <w:szCs w:val="24"/>
        </w:rPr>
        <w:t>ie</w:t>
      </w:r>
      <w:r w:rsidR="00A20316" w:rsidRPr="006A2F2C">
        <w:rPr>
          <w:rFonts w:ascii="Times New Roman" w:hAnsi="Times New Roman" w:cs="Times New Roman"/>
          <w:sz w:val="24"/>
          <w:szCs w:val="24"/>
        </w:rPr>
        <w:t xml:space="preserve"> ś</w:t>
      </w:r>
      <w:r w:rsidR="00CA43F1" w:rsidRPr="006A2F2C">
        <w:rPr>
          <w:rFonts w:ascii="Times New Roman" w:hAnsi="Times New Roman" w:cs="Times New Roman"/>
          <w:sz w:val="24"/>
          <w:szCs w:val="24"/>
        </w:rPr>
        <w:t>więtokrzyski</w:t>
      </w:r>
      <w:r w:rsidR="007B3E75" w:rsidRPr="006A2F2C">
        <w:rPr>
          <w:rFonts w:ascii="Times New Roman" w:hAnsi="Times New Roman" w:cs="Times New Roman"/>
          <w:sz w:val="24"/>
          <w:szCs w:val="24"/>
        </w:rPr>
        <w:t>m</w:t>
      </w:r>
      <w:r w:rsidR="00CA43F1" w:rsidRPr="006A2F2C">
        <w:rPr>
          <w:rFonts w:ascii="Times New Roman" w:hAnsi="Times New Roman" w:cs="Times New Roman"/>
          <w:sz w:val="24"/>
          <w:szCs w:val="24"/>
        </w:rPr>
        <w:t xml:space="preserve"> (2,8</w:t>
      </w:r>
      <w:r w:rsidR="00033CCC" w:rsidRPr="006A2F2C">
        <w:rPr>
          <w:rFonts w:ascii="Times New Roman" w:hAnsi="Times New Roman" w:cs="Times New Roman"/>
          <w:sz w:val="24"/>
          <w:szCs w:val="24"/>
        </w:rPr>
        <w:t xml:space="preserve">%), </w:t>
      </w:r>
      <w:r w:rsidR="00CA43F1" w:rsidRPr="006A2F2C">
        <w:rPr>
          <w:rFonts w:ascii="Times New Roman" w:hAnsi="Times New Roman" w:cs="Times New Roman"/>
          <w:sz w:val="24"/>
          <w:szCs w:val="24"/>
        </w:rPr>
        <w:t>natomiast</w:t>
      </w:r>
      <w:r w:rsidR="00033CCC" w:rsidRPr="006A2F2C">
        <w:rPr>
          <w:rFonts w:ascii="Times New Roman" w:hAnsi="Times New Roman" w:cs="Times New Roman"/>
          <w:sz w:val="24"/>
          <w:szCs w:val="24"/>
        </w:rPr>
        <w:t xml:space="preserve"> </w:t>
      </w:r>
      <w:r w:rsidR="00D108BE" w:rsidRPr="006A2F2C">
        <w:rPr>
          <w:rFonts w:ascii="Times New Roman" w:hAnsi="Times New Roman" w:cs="Times New Roman"/>
          <w:sz w:val="24"/>
          <w:szCs w:val="24"/>
        </w:rPr>
        <w:t>najmniejs</w:t>
      </w:r>
      <w:r w:rsidR="007B3E75" w:rsidRPr="006A2F2C">
        <w:rPr>
          <w:rFonts w:ascii="Times New Roman" w:hAnsi="Times New Roman" w:cs="Times New Roman"/>
          <w:sz w:val="24"/>
          <w:szCs w:val="24"/>
        </w:rPr>
        <w:t>zym</w:t>
      </w:r>
      <w:r w:rsidR="00D108BE" w:rsidRPr="006A2F2C">
        <w:rPr>
          <w:rFonts w:ascii="Times New Roman" w:hAnsi="Times New Roman" w:cs="Times New Roman"/>
          <w:sz w:val="24"/>
          <w:szCs w:val="24"/>
        </w:rPr>
        <w:t xml:space="preserve"> udziałem w tym zakresie charakteryzowali się </w:t>
      </w:r>
      <w:r w:rsidR="00033CCC" w:rsidRPr="006A2F2C">
        <w:rPr>
          <w:rFonts w:ascii="Times New Roman" w:hAnsi="Times New Roman" w:cs="Times New Roman"/>
          <w:sz w:val="24"/>
          <w:szCs w:val="24"/>
        </w:rPr>
        <w:t xml:space="preserve">mieszkańcy </w:t>
      </w:r>
      <w:r w:rsidR="00A20316" w:rsidRPr="006A2F2C">
        <w:rPr>
          <w:rFonts w:ascii="Times New Roman" w:hAnsi="Times New Roman" w:cs="Times New Roman"/>
          <w:sz w:val="24"/>
          <w:szCs w:val="24"/>
        </w:rPr>
        <w:t xml:space="preserve">województwa śląskiego </w:t>
      </w:r>
      <w:r w:rsidR="00CA43F1" w:rsidRPr="006A2F2C">
        <w:rPr>
          <w:rFonts w:ascii="Times New Roman" w:hAnsi="Times New Roman" w:cs="Times New Roman"/>
          <w:sz w:val="24"/>
          <w:szCs w:val="24"/>
        </w:rPr>
        <w:t>(1,0</w:t>
      </w:r>
      <w:r w:rsidR="00033CCC" w:rsidRPr="006A2F2C">
        <w:rPr>
          <w:rFonts w:ascii="Times New Roman" w:hAnsi="Times New Roman" w:cs="Times New Roman"/>
          <w:sz w:val="24"/>
          <w:szCs w:val="24"/>
        </w:rPr>
        <w:t>%).</w:t>
      </w:r>
      <w:r w:rsidR="00F84896" w:rsidRPr="006A2F2C">
        <w:rPr>
          <w:rFonts w:ascii="Times New Roman" w:hAnsi="Times New Roman" w:cs="Times New Roman"/>
          <w:sz w:val="24"/>
          <w:szCs w:val="24"/>
        </w:rPr>
        <w:t xml:space="preserve"> </w:t>
      </w:r>
    </w:p>
    <w:p w:rsidR="00033CCC" w:rsidRPr="006A2F2C" w:rsidRDefault="00033CCC" w:rsidP="006A2F2C">
      <w:pPr>
        <w:pStyle w:val="tekstgl"/>
        <w:spacing w:after="0" w:line="360" w:lineRule="auto"/>
        <w:ind w:firstLine="709"/>
        <w:rPr>
          <w:rFonts w:ascii="Times New Roman" w:hAnsi="Times New Roman" w:cs="Times New Roman"/>
          <w:sz w:val="24"/>
          <w:szCs w:val="24"/>
        </w:rPr>
      </w:pPr>
      <w:r w:rsidRPr="006A2F2C">
        <w:rPr>
          <w:rFonts w:ascii="Times New Roman" w:hAnsi="Times New Roman" w:cs="Times New Roman"/>
          <w:sz w:val="24"/>
          <w:szCs w:val="24"/>
        </w:rPr>
        <w:t>W strukturze dojeżdżających według płci widać dominację mężczyzn w każdej kategorii – na 100 mężczy</w:t>
      </w:r>
      <w:r w:rsidR="00E852BF" w:rsidRPr="006A2F2C">
        <w:rPr>
          <w:rFonts w:ascii="Times New Roman" w:hAnsi="Times New Roman" w:cs="Times New Roman"/>
          <w:sz w:val="24"/>
          <w:szCs w:val="24"/>
        </w:rPr>
        <w:t>zn przypadało od 30</w:t>
      </w:r>
      <w:r w:rsidRPr="006A2F2C">
        <w:rPr>
          <w:rFonts w:ascii="Times New Roman" w:hAnsi="Times New Roman" w:cs="Times New Roman"/>
          <w:sz w:val="24"/>
          <w:szCs w:val="24"/>
        </w:rPr>
        <w:t xml:space="preserve"> (</w:t>
      </w:r>
      <w:r w:rsidR="00E852BF" w:rsidRPr="006A2F2C">
        <w:rPr>
          <w:rFonts w:ascii="Times New Roman" w:hAnsi="Times New Roman" w:cs="Times New Roman"/>
          <w:sz w:val="24"/>
          <w:szCs w:val="24"/>
        </w:rPr>
        <w:t xml:space="preserve">ponad 2 godziny) do 84 </w:t>
      </w:r>
      <w:r w:rsidRPr="006A2F2C">
        <w:rPr>
          <w:rFonts w:ascii="Times New Roman" w:hAnsi="Times New Roman" w:cs="Times New Roman"/>
          <w:sz w:val="24"/>
          <w:szCs w:val="24"/>
        </w:rPr>
        <w:t>kobiet (</w:t>
      </w:r>
      <w:r w:rsidR="00E852BF" w:rsidRPr="006A2F2C">
        <w:rPr>
          <w:rFonts w:ascii="Times New Roman" w:hAnsi="Times New Roman" w:cs="Times New Roman"/>
          <w:sz w:val="24"/>
          <w:szCs w:val="24"/>
        </w:rPr>
        <w:t>do 30 minut</w:t>
      </w:r>
      <w:r w:rsidR="006A5857" w:rsidRPr="006A2F2C">
        <w:rPr>
          <w:rFonts w:ascii="Times New Roman" w:hAnsi="Times New Roman" w:cs="Times New Roman"/>
          <w:sz w:val="24"/>
          <w:szCs w:val="24"/>
        </w:rPr>
        <w:t xml:space="preserve">). </w:t>
      </w:r>
      <w:r w:rsidRPr="006A2F2C">
        <w:rPr>
          <w:rFonts w:ascii="Times New Roman" w:hAnsi="Times New Roman" w:cs="Times New Roman"/>
          <w:sz w:val="24"/>
          <w:szCs w:val="24"/>
        </w:rPr>
        <w:t xml:space="preserve">Rozkład tego </w:t>
      </w:r>
      <w:r w:rsidR="00250BCC" w:rsidRPr="006A2F2C">
        <w:rPr>
          <w:rFonts w:ascii="Times New Roman" w:hAnsi="Times New Roman" w:cs="Times New Roman"/>
          <w:sz w:val="24"/>
          <w:szCs w:val="24"/>
        </w:rPr>
        <w:t xml:space="preserve">wskaźnika </w:t>
      </w:r>
      <w:r w:rsidRPr="006A2F2C">
        <w:rPr>
          <w:rFonts w:ascii="Times New Roman" w:hAnsi="Times New Roman" w:cs="Times New Roman"/>
          <w:sz w:val="24"/>
          <w:szCs w:val="24"/>
        </w:rPr>
        <w:t>w woje</w:t>
      </w:r>
      <w:r w:rsidR="006A5857" w:rsidRPr="006A2F2C">
        <w:rPr>
          <w:rFonts w:ascii="Times New Roman" w:hAnsi="Times New Roman" w:cs="Times New Roman"/>
          <w:sz w:val="24"/>
          <w:szCs w:val="24"/>
        </w:rPr>
        <w:t>wództwach w ramach każdej kategorii też</w:t>
      </w:r>
      <w:r w:rsidRPr="006A2F2C">
        <w:rPr>
          <w:rFonts w:ascii="Times New Roman" w:hAnsi="Times New Roman" w:cs="Times New Roman"/>
          <w:sz w:val="24"/>
          <w:szCs w:val="24"/>
        </w:rPr>
        <w:t xml:space="preserve"> był raczej równomierny i podobny</w:t>
      </w:r>
      <w:r w:rsidR="006A5857" w:rsidRPr="006A2F2C">
        <w:rPr>
          <w:rFonts w:ascii="Times New Roman" w:hAnsi="Times New Roman" w:cs="Times New Roman"/>
          <w:sz w:val="24"/>
          <w:szCs w:val="24"/>
        </w:rPr>
        <w:t xml:space="preserve"> w ramach każde</w:t>
      </w:r>
      <w:r w:rsidR="00D279CB" w:rsidRPr="006A2F2C">
        <w:rPr>
          <w:rFonts w:ascii="Times New Roman" w:hAnsi="Times New Roman" w:cs="Times New Roman"/>
          <w:sz w:val="24"/>
          <w:szCs w:val="24"/>
        </w:rPr>
        <w:t>j kategorii</w:t>
      </w:r>
      <w:r w:rsidR="000C43C5" w:rsidRPr="006A2F2C">
        <w:rPr>
          <w:rFonts w:ascii="Times New Roman" w:hAnsi="Times New Roman" w:cs="Times New Roman"/>
          <w:sz w:val="24"/>
          <w:szCs w:val="24"/>
        </w:rPr>
        <w:t xml:space="preserve"> (choć zdarzają się i znaczniejsze różnice – np. dla dojeżdżających najdłużej – ponad 2 godziny – </w:t>
      </w:r>
      <w:r w:rsidR="00A20316" w:rsidRPr="006A2F2C">
        <w:rPr>
          <w:rFonts w:ascii="Times New Roman" w:hAnsi="Times New Roman" w:cs="Times New Roman"/>
          <w:sz w:val="24"/>
          <w:szCs w:val="24"/>
        </w:rPr>
        <w:t>w województwie mazowieckim</w:t>
      </w:r>
      <w:r w:rsidR="000C43C5" w:rsidRPr="006A2F2C">
        <w:rPr>
          <w:rFonts w:ascii="Times New Roman" w:hAnsi="Times New Roman" w:cs="Times New Roman"/>
          <w:sz w:val="24"/>
          <w:szCs w:val="24"/>
        </w:rPr>
        <w:t xml:space="preserve"> na 100 mężczyzn przypada 50 kobiet, podczas gdy w </w:t>
      </w:r>
      <w:r w:rsidR="00A20316" w:rsidRPr="006A2F2C">
        <w:rPr>
          <w:rFonts w:ascii="Times New Roman" w:hAnsi="Times New Roman" w:cs="Times New Roman"/>
          <w:sz w:val="24"/>
          <w:szCs w:val="24"/>
        </w:rPr>
        <w:t>województwie świętokrzyski</w:t>
      </w:r>
      <w:r w:rsidR="000C43C5" w:rsidRPr="006A2F2C">
        <w:rPr>
          <w:rFonts w:ascii="Times New Roman" w:hAnsi="Times New Roman" w:cs="Times New Roman"/>
          <w:sz w:val="24"/>
          <w:szCs w:val="24"/>
        </w:rPr>
        <w:t>m – 13)</w:t>
      </w:r>
      <w:r w:rsidRPr="006A2F2C">
        <w:rPr>
          <w:rFonts w:ascii="Times New Roman" w:hAnsi="Times New Roman" w:cs="Times New Roman"/>
          <w:sz w:val="24"/>
          <w:szCs w:val="24"/>
        </w:rPr>
        <w:t>,</w:t>
      </w:r>
      <w:r w:rsidR="00B5488A" w:rsidRPr="006A2F2C">
        <w:rPr>
          <w:rFonts w:ascii="Times New Roman" w:hAnsi="Times New Roman" w:cs="Times New Roman"/>
          <w:sz w:val="24"/>
          <w:szCs w:val="24"/>
        </w:rPr>
        <w:t xml:space="preserve"> nigdzie też kobi</w:t>
      </w:r>
      <w:r w:rsidR="002E6FCC" w:rsidRPr="006A2F2C">
        <w:rPr>
          <w:rFonts w:ascii="Times New Roman" w:hAnsi="Times New Roman" w:cs="Times New Roman"/>
          <w:sz w:val="24"/>
          <w:szCs w:val="24"/>
        </w:rPr>
        <w:t>e</w:t>
      </w:r>
      <w:r w:rsidR="00B5488A" w:rsidRPr="006A2F2C">
        <w:rPr>
          <w:rFonts w:ascii="Times New Roman" w:hAnsi="Times New Roman" w:cs="Times New Roman"/>
          <w:sz w:val="24"/>
          <w:szCs w:val="24"/>
        </w:rPr>
        <w:t>ty nie uzyskały pod tym względem przewagi</w:t>
      </w:r>
      <w:r w:rsidRPr="006A2F2C">
        <w:rPr>
          <w:rFonts w:ascii="Times New Roman" w:hAnsi="Times New Roman" w:cs="Times New Roman"/>
          <w:sz w:val="24"/>
          <w:szCs w:val="24"/>
        </w:rPr>
        <w:t>.</w:t>
      </w:r>
      <w:r w:rsidR="006A5857" w:rsidRPr="006A2F2C">
        <w:rPr>
          <w:rFonts w:ascii="Times New Roman" w:hAnsi="Times New Roman" w:cs="Times New Roman"/>
          <w:sz w:val="24"/>
          <w:szCs w:val="24"/>
        </w:rPr>
        <w:t xml:space="preserve"> Natomiast w </w:t>
      </w:r>
      <w:r w:rsidR="00D279CB" w:rsidRPr="006A2F2C">
        <w:rPr>
          <w:rFonts w:ascii="Times New Roman" w:hAnsi="Times New Roman" w:cs="Times New Roman"/>
          <w:sz w:val="24"/>
          <w:szCs w:val="24"/>
        </w:rPr>
        <w:t xml:space="preserve">rozkładzie </w:t>
      </w:r>
      <w:r w:rsidR="00BE78AF" w:rsidRPr="006A2F2C">
        <w:rPr>
          <w:rFonts w:ascii="Times New Roman" w:hAnsi="Times New Roman" w:cs="Times New Roman"/>
          <w:sz w:val="24"/>
          <w:szCs w:val="24"/>
        </w:rPr>
        <w:t>pomiędzy kategoriami w poszczególnych województwach</w:t>
      </w:r>
      <w:r w:rsidR="00497101" w:rsidRPr="006A2F2C">
        <w:rPr>
          <w:rFonts w:ascii="Times New Roman" w:hAnsi="Times New Roman" w:cs="Times New Roman"/>
          <w:sz w:val="24"/>
          <w:szCs w:val="24"/>
        </w:rPr>
        <w:t xml:space="preserve"> </w:t>
      </w:r>
      <w:r w:rsidR="00D279CB" w:rsidRPr="006A2F2C">
        <w:rPr>
          <w:rFonts w:ascii="Times New Roman" w:hAnsi="Times New Roman" w:cs="Times New Roman"/>
          <w:sz w:val="24"/>
          <w:szCs w:val="24"/>
        </w:rPr>
        <w:t>widocz</w:t>
      </w:r>
      <w:r w:rsidR="00BE78AF" w:rsidRPr="006A2F2C">
        <w:rPr>
          <w:rFonts w:ascii="Times New Roman" w:hAnsi="Times New Roman" w:cs="Times New Roman"/>
          <w:sz w:val="24"/>
          <w:szCs w:val="24"/>
        </w:rPr>
        <w:t>ne są</w:t>
      </w:r>
      <w:r w:rsidR="00D279CB" w:rsidRPr="006A2F2C">
        <w:rPr>
          <w:rFonts w:ascii="Times New Roman" w:hAnsi="Times New Roman" w:cs="Times New Roman"/>
          <w:sz w:val="24"/>
          <w:szCs w:val="24"/>
        </w:rPr>
        <w:t xml:space="preserve"> p</w:t>
      </w:r>
      <w:r w:rsidR="002E11A5" w:rsidRPr="006A2F2C">
        <w:rPr>
          <w:rFonts w:ascii="Times New Roman" w:hAnsi="Times New Roman" w:cs="Times New Roman"/>
          <w:sz w:val="24"/>
          <w:szCs w:val="24"/>
        </w:rPr>
        <w:t>e</w:t>
      </w:r>
      <w:r w:rsidR="00D279CB" w:rsidRPr="006A2F2C">
        <w:rPr>
          <w:rFonts w:ascii="Times New Roman" w:hAnsi="Times New Roman" w:cs="Times New Roman"/>
          <w:sz w:val="24"/>
          <w:szCs w:val="24"/>
        </w:rPr>
        <w:t>wne ró</w:t>
      </w:r>
      <w:r w:rsidR="002E11A5" w:rsidRPr="006A2F2C">
        <w:rPr>
          <w:rFonts w:ascii="Times New Roman" w:hAnsi="Times New Roman" w:cs="Times New Roman"/>
          <w:sz w:val="24"/>
          <w:szCs w:val="24"/>
        </w:rPr>
        <w:t>ż</w:t>
      </w:r>
      <w:r w:rsidR="00D279CB" w:rsidRPr="006A2F2C">
        <w:rPr>
          <w:rFonts w:ascii="Times New Roman" w:hAnsi="Times New Roman" w:cs="Times New Roman"/>
          <w:sz w:val="24"/>
          <w:szCs w:val="24"/>
        </w:rPr>
        <w:t xml:space="preserve">nice, </w:t>
      </w:r>
      <w:r w:rsidR="0023271D" w:rsidRPr="006A2F2C">
        <w:rPr>
          <w:rFonts w:ascii="Times New Roman" w:hAnsi="Times New Roman" w:cs="Times New Roman"/>
          <w:sz w:val="24"/>
          <w:szCs w:val="24"/>
        </w:rPr>
        <w:t xml:space="preserve">co zostało </w:t>
      </w:r>
      <w:r w:rsidR="00D279CB" w:rsidRPr="006A2F2C">
        <w:rPr>
          <w:rFonts w:ascii="Times New Roman" w:hAnsi="Times New Roman" w:cs="Times New Roman"/>
          <w:sz w:val="24"/>
          <w:szCs w:val="24"/>
        </w:rPr>
        <w:t>zobr</w:t>
      </w:r>
      <w:r w:rsidR="002E11A5" w:rsidRPr="006A2F2C">
        <w:rPr>
          <w:rFonts w:ascii="Times New Roman" w:hAnsi="Times New Roman" w:cs="Times New Roman"/>
          <w:sz w:val="24"/>
          <w:szCs w:val="24"/>
        </w:rPr>
        <w:t>a</w:t>
      </w:r>
      <w:r w:rsidR="00D279CB" w:rsidRPr="006A2F2C">
        <w:rPr>
          <w:rFonts w:ascii="Times New Roman" w:hAnsi="Times New Roman" w:cs="Times New Roman"/>
          <w:sz w:val="24"/>
          <w:szCs w:val="24"/>
        </w:rPr>
        <w:t>zow</w:t>
      </w:r>
      <w:r w:rsidR="002E11A5" w:rsidRPr="006A2F2C">
        <w:rPr>
          <w:rFonts w:ascii="Times New Roman" w:hAnsi="Times New Roman" w:cs="Times New Roman"/>
          <w:sz w:val="24"/>
          <w:szCs w:val="24"/>
        </w:rPr>
        <w:t>a</w:t>
      </w:r>
      <w:r w:rsidR="00497101" w:rsidRPr="006A2F2C">
        <w:rPr>
          <w:rFonts w:ascii="Times New Roman" w:hAnsi="Times New Roman" w:cs="Times New Roman"/>
          <w:sz w:val="24"/>
          <w:szCs w:val="24"/>
        </w:rPr>
        <w:t>ne na wykresie</w:t>
      </w:r>
      <w:r w:rsidR="00871E11">
        <w:rPr>
          <w:rFonts w:ascii="Times New Roman" w:hAnsi="Times New Roman" w:cs="Times New Roman"/>
          <w:sz w:val="24"/>
          <w:szCs w:val="24"/>
        </w:rPr>
        <w:t xml:space="preserve"> 6.7</w:t>
      </w:r>
      <w:r w:rsidR="000C43C5" w:rsidRPr="006A2F2C">
        <w:rPr>
          <w:rFonts w:ascii="Times New Roman" w:hAnsi="Times New Roman" w:cs="Times New Roman"/>
          <w:sz w:val="24"/>
          <w:szCs w:val="24"/>
        </w:rPr>
        <w:t>.</w:t>
      </w:r>
    </w:p>
    <w:p w:rsidR="00522623" w:rsidRDefault="00522623">
      <w:pPr>
        <w:rPr>
          <w:rFonts w:asciiTheme="majorHAnsi" w:hAnsiTheme="majorHAnsi"/>
          <w:b/>
        </w:rPr>
      </w:pPr>
      <w:r>
        <w:rPr>
          <w:rFonts w:asciiTheme="majorHAnsi" w:hAnsiTheme="majorHAnsi"/>
          <w:b/>
        </w:rPr>
        <w:br w:type="page"/>
      </w:r>
    </w:p>
    <w:p w:rsidR="00D279CB" w:rsidRPr="006A2F2C" w:rsidRDefault="00497101" w:rsidP="00ED4CA3">
      <w:pPr>
        <w:keepNext/>
        <w:spacing w:after="100"/>
        <w:jc w:val="both"/>
        <w:rPr>
          <w:rFonts w:ascii="Times New Roman" w:hAnsi="Times New Roman" w:cs="Times New Roman"/>
          <w:b/>
          <w:sz w:val="20"/>
          <w:szCs w:val="20"/>
        </w:rPr>
      </w:pPr>
      <w:r w:rsidRPr="006A2F2C">
        <w:rPr>
          <w:rFonts w:ascii="Times New Roman" w:hAnsi="Times New Roman" w:cs="Times New Roman"/>
          <w:b/>
          <w:sz w:val="20"/>
          <w:szCs w:val="20"/>
        </w:rPr>
        <w:lastRenderedPageBreak/>
        <w:t xml:space="preserve">Wykres </w:t>
      </w:r>
      <w:r w:rsidR="00D55B40">
        <w:rPr>
          <w:rFonts w:ascii="Times New Roman" w:hAnsi="Times New Roman" w:cs="Times New Roman"/>
          <w:b/>
          <w:sz w:val="20"/>
          <w:szCs w:val="20"/>
        </w:rPr>
        <w:t>6</w:t>
      </w:r>
      <w:r w:rsidR="0029666D">
        <w:rPr>
          <w:rFonts w:ascii="Times New Roman" w:hAnsi="Times New Roman" w:cs="Times New Roman"/>
          <w:b/>
          <w:sz w:val="20"/>
          <w:szCs w:val="20"/>
        </w:rPr>
        <w:t>.7</w:t>
      </w:r>
      <w:r w:rsidR="00D279CB" w:rsidRPr="006A2F2C">
        <w:rPr>
          <w:rFonts w:ascii="Times New Roman" w:hAnsi="Times New Roman" w:cs="Times New Roman"/>
          <w:b/>
          <w:sz w:val="20"/>
          <w:szCs w:val="20"/>
        </w:rPr>
        <w:t>. Liczba kobiet na 100 mężczyzn według czas</w:t>
      </w:r>
      <w:r w:rsidR="004F5BC4" w:rsidRPr="006A2F2C">
        <w:rPr>
          <w:rFonts w:ascii="Times New Roman" w:hAnsi="Times New Roman" w:cs="Times New Roman"/>
          <w:b/>
          <w:sz w:val="20"/>
          <w:szCs w:val="20"/>
        </w:rPr>
        <w:t>u dojazdu do pracy i województw</w:t>
      </w:r>
    </w:p>
    <w:p w:rsidR="00033CCC" w:rsidRPr="0024503A" w:rsidRDefault="009601FC" w:rsidP="00ED4CA3">
      <w:pPr>
        <w:pStyle w:val="Akapitzlist"/>
        <w:keepNext/>
        <w:spacing w:after="100"/>
        <w:ind w:left="0"/>
        <w:contextualSpacing w:val="0"/>
        <w:jc w:val="both"/>
        <w:rPr>
          <w:rFonts w:asciiTheme="majorHAnsi" w:hAnsiTheme="majorHAnsi"/>
        </w:rPr>
      </w:pPr>
      <w:r w:rsidRPr="00D41159">
        <w:rPr>
          <w:noProof/>
          <w:lang w:eastAsia="pl-PL"/>
        </w:rPr>
        <w:drawing>
          <wp:inline distT="0" distB="0" distL="0" distR="0">
            <wp:extent cx="5514975" cy="6829425"/>
            <wp:effectExtent l="19050" t="0" r="0" b="0"/>
            <wp:docPr id="3" name="Wykres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033CCC" w:rsidRPr="006A2F2C" w:rsidRDefault="004C43C9" w:rsidP="006A2F2C">
      <w:pPr>
        <w:pStyle w:val="tekstgl"/>
        <w:spacing w:after="0" w:line="360" w:lineRule="auto"/>
        <w:ind w:firstLine="709"/>
        <w:rPr>
          <w:rFonts w:ascii="Times New Roman" w:hAnsi="Times New Roman" w:cs="Times New Roman"/>
          <w:sz w:val="24"/>
          <w:szCs w:val="24"/>
        </w:rPr>
      </w:pPr>
      <w:r w:rsidRPr="006A2F2C">
        <w:rPr>
          <w:rFonts w:ascii="Times New Roman" w:hAnsi="Times New Roman" w:cs="Times New Roman"/>
          <w:sz w:val="24"/>
          <w:szCs w:val="24"/>
        </w:rPr>
        <w:t>Widać</w:t>
      </w:r>
      <w:r w:rsidR="00FF6A6B" w:rsidRPr="006A2F2C">
        <w:rPr>
          <w:rFonts w:ascii="Times New Roman" w:hAnsi="Times New Roman" w:cs="Times New Roman"/>
          <w:sz w:val="24"/>
          <w:szCs w:val="24"/>
        </w:rPr>
        <w:t xml:space="preserve"> więc, że</w:t>
      </w:r>
      <w:r w:rsidR="000C43C5" w:rsidRPr="006A2F2C">
        <w:rPr>
          <w:rFonts w:ascii="Times New Roman" w:hAnsi="Times New Roman" w:cs="Times New Roman"/>
          <w:sz w:val="24"/>
          <w:szCs w:val="24"/>
        </w:rPr>
        <w:t xml:space="preserve"> przewaga mężczyzn w kategorii osób, którym dojazd do pracy zajmuje najwięcej czasu (ponad 2 godziny) jest bardzo wyraźna. Natomiast w przypadku pozostałych trzech kategorii w województwach mazowieckim i dolnośląskim wartość omawianego wskaźnika jest podobna. Inne województwa wykazują</w:t>
      </w:r>
      <w:r w:rsidR="002B6BC2" w:rsidRPr="006A2F2C">
        <w:rPr>
          <w:rFonts w:ascii="Times New Roman" w:hAnsi="Times New Roman" w:cs="Times New Roman"/>
          <w:sz w:val="24"/>
          <w:szCs w:val="24"/>
        </w:rPr>
        <w:t xml:space="preserve"> większe zróżnicowanie w tym</w:t>
      </w:r>
      <w:r w:rsidR="000C43C5" w:rsidRPr="006A2F2C">
        <w:rPr>
          <w:rFonts w:ascii="Times New Roman" w:hAnsi="Times New Roman" w:cs="Times New Roman"/>
          <w:sz w:val="24"/>
          <w:szCs w:val="24"/>
        </w:rPr>
        <w:t xml:space="preserve"> względzie.</w:t>
      </w:r>
      <w:r w:rsidR="00FF6A6B" w:rsidRPr="006A2F2C">
        <w:rPr>
          <w:rFonts w:ascii="Times New Roman" w:hAnsi="Times New Roman" w:cs="Times New Roman"/>
          <w:sz w:val="24"/>
          <w:szCs w:val="24"/>
        </w:rPr>
        <w:t xml:space="preserve"> </w:t>
      </w:r>
      <w:r w:rsidR="000C43C5" w:rsidRPr="006A2F2C">
        <w:rPr>
          <w:rFonts w:ascii="Times New Roman" w:hAnsi="Times New Roman" w:cs="Times New Roman"/>
          <w:sz w:val="24"/>
          <w:szCs w:val="24"/>
        </w:rPr>
        <w:t xml:space="preserve">Zawsze jednak </w:t>
      </w:r>
      <w:r w:rsidR="002B6BC2" w:rsidRPr="006A2F2C">
        <w:rPr>
          <w:rFonts w:ascii="Times New Roman" w:hAnsi="Times New Roman" w:cs="Times New Roman"/>
          <w:sz w:val="24"/>
          <w:szCs w:val="24"/>
        </w:rPr>
        <w:t>stan najbliższy</w:t>
      </w:r>
      <w:r w:rsidR="000C43C5" w:rsidRPr="006A2F2C">
        <w:rPr>
          <w:rFonts w:ascii="Times New Roman" w:hAnsi="Times New Roman" w:cs="Times New Roman"/>
          <w:sz w:val="24"/>
          <w:szCs w:val="24"/>
        </w:rPr>
        <w:t xml:space="preserve"> osiągnięc</w:t>
      </w:r>
      <w:r w:rsidR="00E306DC" w:rsidRPr="006A2F2C">
        <w:rPr>
          <w:rFonts w:ascii="Times New Roman" w:hAnsi="Times New Roman" w:cs="Times New Roman"/>
          <w:sz w:val="24"/>
          <w:szCs w:val="24"/>
        </w:rPr>
        <w:t xml:space="preserve">ia równowagi pomiędzy liczbami </w:t>
      </w:r>
      <w:r w:rsidR="00E306DC" w:rsidRPr="006A2F2C">
        <w:rPr>
          <w:rFonts w:ascii="Times New Roman" w:hAnsi="Times New Roman" w:cs="Times New Roman"/>
          <w:sz w:val="24"/>
          <w:szCs w:val="24"/>
        </w:rPr>
        <w:lastRenderedPageBreak/>
        <w:t xml:space="preserve">dojeżdżających kobiet i mężczyzn </w:t>
      </w:r>
      <w:r w:rsidR="002B6BC2" w:rsidRPr="006A2F2C">
        <w:rPr>
          <w:rFonts w:ascii="Times New Roman" w:hAnsi="Times New Roman" w:cs="Times New Roman"/>
          <w:sz w:val="24"/>
          <w:szCs w:val="24"/>
        </w:rPr>
        <w:t xml:space="preserve"> można zaobserwować</w:t>
      </w:r>
      <w:r w:rsidR="000C43C5" w:rsidRPr="006A2F2C">
        <w:rPr>
          <w:rFonts w:ascii="Times New Roman" w:hAnsi="Times New Roman" w:cs="Times New Roman"/>
          <w:sz w:val="24"/>
          <w:szCs w:val="24"/>
        </w:rPr>
        <w:t xml:space="preserve"> dla </w:t>
      </w:r>
      <w:r w:rsidR="00E306DC" w:rsidRPr="006A2F2C">
        <w:rPr>
          <w:rFonts w:ascii="Times New Roman" w:hAnsi="Times New Roman" w:cs="Times New Roman"/>
          <w:sz w:val="24"/>
          <w:szCs w:val="24"/>
        </w:rPr>
        <w:t xml:space="preserve">grupy </w:t>
      </w:r>
      <w:r w:rsidR="000C43C5" w:rsidRPr="006A2F2C">
        <w:rPr>
          <w:rFonts w:ascii="Times New Roman" w:hAnsi="Times New Roman" w:cs="Times New Roman"/>
          <w:sz w:val="24"/>
          <w:szCs w:val="24"/>
        </w:rPr>
        <w:t>dojeżdżających najkrócej</w:t>
      </w:r>
      <w:r w:rsidR="00940D48">
        <w:rPr>
          <w:rFonts w:ascii="Times New Roman" w:hAnsi="Times New Roman" w:cs="Times New Roman"/>
          <w:sz w:val="24"/>
          <w:szCs w:val="24"/>
        </w:rPr>
        <w:t xml:space="preserve"> (do 30 </w:t>
      </w:r>
      <w:r w:rsidR="00E306DC" w:rsidRPr="006A2F2C">
        <w:rPr>
          <w:rFonts w:ascii="Times New Roman" w:hAnsi="Times New Roman" w:cs="Times New Roman"/>
          <w:sz w:val="24"/>
          <w:szCs w:val="24"/>
        </w:rPr>
        <w:t>minut)</w:t>
      </w:r>
      <w:r w:rsidR="000C43C5" w:rsidRPr="006A2F2C">
        <w:rPr>
          <w:rFonts w:ascii="Times New Roman" w:hAnsi="Times New Roman" w:cs="Times New Roman"/>
          <w:sz w:val="24"/>
          <w:szCs w:val="24"/>
        </w:rPr>
        <w:t>.</w:t>
      </w:r>
    </w:p>
    <w:p w:rsidR="00821DFB" w:rsidRPr="006A2F2C" w:rsidRDefault="0073536F" w:rsidP="006A2F2C">
      <w:pPr>
        <w:pStyle w:val="tekstgl"/>
        <w:spacing w:after="0" w:line="360" w:lineRule="auto"/>
        <w:ind w:firstLine="709"/>
        <w:rPr>
          <w:rFonts w:ascii="Times New Roman" w:hAnsi="Times New Roman" w:cs="Times New Roman"/>
          <w:sz w:val="24"/>
          <w:szCs w:val="24"/>
        </w:rPr>
      </w:pPr>
      <w:r w:rsidRPr="006A2F2C">
        <w:rPr>
          <w:rFonts w:ascii="Times New Roman" w:hAnsi="Times New Roman" w:cs="Times New Roman"/>
          <w:sz w:val="24"/>
          <w:szCs w:val="24"/>
        </w:rPr>
        <w:t xml:space="preserve">Kolejną rozpatrywaną </w:t>
      </w:r>
      <w:r w:rsidR="00AF29DE" w:rsidRPr="006A2F2C">
        <w:rPr>
          <w:rFonts w:ascii="Times New Roman" w:hAnsi="Times New Roman" w:cs="Times New Roman"/>
          <w:sz w:val="24"/>
          <w:szCs w:val="24"/>
        </w:rPr>
        <w:t xml:space="preserve">charakterystykę </w:t>
      </w:r>
      <w:r w:rsidRPr="006A2F2C">
        <w:rPr>
          <w:rFonts w:ascii="Times New Roman" w:hAnsi="Times New Roman" w:cs="Times New Roman"/>
          <w:sz w:val="24"/>
          <w:szCs w:val="24"/>
        </w:rPr>
        <w:t>dojazdów stan</w:t>
      </w:r>
      <w:r w:rsidR="00AF29DE" w:rsidRPr="006A2F2C">
        <w:rPr>
          <w:rFonts w:ascii="Times New Roman" w:hAnsi="Times New Roman" w:cs="Times New Roman"/>
          <w:sz w:val="24"/>
          <w:szCs w:val="24"/>
        </w:rPr>
        <w:t>ow</w:t>
      </w:r>
      <w:r w:rsidRPr="006A2F2C">
        <w:rPr>
          <w:rFonts w:ascii="Times New Roman" w:hAnsi="Times New Roman" w:cs="Times New Roman"/>
          <w:sz w:val="24"/>
          <w:szCs w:val="24"/>
        </w:rPr>
        <w:t xml:space="preserve">i środek </w:t>
      </w:r>
      <w:r w:rsidR="00257555" w:rsidRPr="006A2F2C">
        <w:rPr>
          <w:rFonts w:ascii="Times New Roman" w:hAnsi="Times New Roman" w:cs="Times New Roman"/>
          <w:sz w:val="24"/>
          <w:szCs w:val="24"/>
        </w:rPr>
        <w:t>transportu</w:t>
      </w:r>
      <w:r w:rsidRPr="006A2F2C">
        <w:rPr>
          <w:rFonts w:ascii="Times New Roman" w:hAnsi="Times New Roman" w:cs="Times New Roman"/>
          <w:sz w:val="24"/>
          <w:szCs w:val="24"/>
        </w:rPr>
        <w:t>, którym dojeżdżający się posługuje aby pokonać odległość dzielącą go od miejsca faktycznego zamieszkania do głównego miejsca pracy. N</w:t>
      </w:r>
      <w:r w:rsidR="00C63319" w:rsidRPr="006A2F2C">
        <w:rPr>
          <w:rFonts w:ascii="Times New Roman" w:hAnsi="Times New Roman" w:cs="Times New Roman"/>
          <w:sz w:val="24"/>
          <w:szCs w:val="24"/>
        </w:rPr>
        <w:t>ajwięcej takich osób, bo 5154</w:t>
      </w:r>
      <w:r w:rsidR="00D17F80" w:rsidRPr="006A2F2C">
        <w:rPr>
          <w:rFonts w:ascii="Times New Roman" w:hAnsi="Times New Roman" w:cs="Times New Roman"/>
          <w:sz w:val="24"/>
          <w:szCs w:val="24"/>
        </w:rPr>
        <w:t>,1 tys.</w:t>
      </w:r>
      <w:r w:rsidRPr="006A2F2C">
        <w:rPr>
          <w:rFonts w:ascii="Times New Roman" w:hAnsi="Times New Roman" w:cs="Times New Roman"/>
          <w:sz w:val="24"/>
          <w:szCs w:val="24"/>
        </w:rPr>
        <w:t xml:space="preserve"> (czyli 56,4% ogółu dojeżdżających) używa</w:t>
      </w:r>
      <w:r w:rsidR="002B6BC2" w:rsidRPr="006A2F2C">
        <w:rPr>
          <w:rFonts w:ascii="Times New Roman" w:hAnsi="Times New Roman" w:cs="Times New Roman"/>
          <w:sz w:val="24"/>
          <w:szCs w:val="24"/>
        </w:rPr>
        <w:t>ło</w:t>
      </w:r>
      <w:r w:rsidRPr="006A2F2C">
        <w:rPr>
          <w:rFonts w:ascii="Times New Roman" w:hAnsi="Times New Roman" w:cs="Times New Roman"/>
          <w:sz w:val="24"/>
          <w:szCs w:val="24"/>
        </w:rPr>
        <w:t xml:space="preserve"> do tego celu samochodu osobowe</w:t>
      </w:r>
      <w:r w:rsidR="002B6BC2" w:rsidRPr="006A2F2C">
        <w:rPr>
          <w:rFonts w:ascii="Times New Roman" w:hAnsi="Times New Roman" w:cs="Times New Roman"/>
          <w:sz w:val="24"/>
          <w:szCs w:val="24"/>
        </w:rPr>
        <w:t xml:space="preserve">go, którym </w:t>
      </w:r>
      <w:r w:rsidR="00446303" w:rsidRPr="006A2F2C">
        <w:rPr>
          <w:rFonts w:ascii="Times New Roman" w:hAnsi="Times New Roman" w:cs="Times New Roman"/>
          <w:sz w:val="24"/>
          <w:szCs w:val="24"/>
        </w:rPr>
        <w:t xml:space="preserve">osobiście </w:t>
      </w:r>
      <w:r w:rsidR="002B6BC2" w:rsidRPr="006A2F2C">
        <w:rPr>
          <w:rFonts w:ascii="Times New Roman" w:hAnsi="Times New Roman" w:cs="Times New Roman"/>
          <w:sz w:val="24"/>
          <w:szCs w:val="24"/>
        </w:rPr>
        <w:t>kierowało</w:t>
      </w:r>
      <w:r w:rsidRPr="006A2F2C">
        <w:rPr>
          <w:rFonts w:ascii="Times New Roman" w:hAnsi="Times New Roman" w:cs="Times New Roman"/>
          <w:sz w:val="24"/>
          <w:szCs w:val="24"/>
        </w:rPr>
        <w:t xml:space="preserve">. </w:t>
      </w:r>
      <w:r w:rsidR="00821DFB" w:rsidRPr="006A2F2C">
        <w:rPr>
          <w:rFonts w:ascii="Times New Roman" w:hAnsi="Times New Roman" w:cs="Times New Roman"/>
          <w:sz w:val="24"/>
          <w:szCs w:val="24"/>
        </w:rPr>
        <w:t>W następnej kolejności w tej hierarchii znajdu</w:t>
      </w:r>
      <w:r w:rsidR="00816A59">
        <w:rPr>
          <w:rFonts w:ascii="Times New Roman" w:hAnsi="Times New Roman" w:cs="Times New Roman"/>
          <w:sz w:val="24"/>
          <w:szCs w:val="24"/>
        </w:rPr>
        <w:t>je się komunikacja publiczna (w </w:t>
      </w:r>
      <w:r w:rsidR="00821DFB" w:rsidRPr="006A2F2C">
        <w:rPr>
          <w:rFonts w:ascii="Times New Roman" w:hAnsi="Times New Roman" w:cs="Times New Roman"/>
          <w:sz w:val="24"/>
          <w:szCs w:val="24"/>
        </w:rPr>
        <w:t>tym miejska), z której korzysta</w:t>
      </w:r>
      <w:r w:rsidR="00C63319" w:rsidRPr="006A2F2C">
        <w:rPr>
          <w:rFonts w:ascii="Times New Roman" w:hAnsi="Times New Roman" w:cs="Times New Roman"/>
          <w:sz w:val="24"/>
          <w:szCs w:val="24"/>
        </w:rPr>
        <w:t>ło 2295</w:t>
      </w:r>
      <w:r w:rsidR="00D17F80" w:rsidRPr="006A2F2C">
        <w:rPr>
          <w:rFonts w:ascii="Times New Roman" w:hAnsi="Times New Roman" w:cs="Times New Roman"/>
          <w:sz w:val="24"/>
          <w:szCs w:val="24"/>
        </w:rPr>
        <w:t xml:space="preserve">,4 tys. </w:t>
      </w:r>
      <w:r w:rsidR="00821DFB" w:rsidRPr="006A2F2C">
        <w:rPr>
          <w:rFonts w:ascii="Times New Roman" w:hAnsi="Times New Roman" w:cs="Times New Roman"/>
          <w:sz w:val="24"/>
          <w:szCs w:val="24"/>
        </w:rPr>
        <w:t>osób (25,1</w:t>
      </w:r>
      <w:r w:rsidRPr="006A2F2C">
        <w:rPr>
          <w:rFonts w:ascii="Times New Roman" w:hAnsi="Times New Roman" w:cs="Times New Roman"/>
          <w:sz w:val="24"/>
          <w:szCs w:val="24"/>
        </w:rPr>
        <w:t>%)</w:t>
      </w:r>
      <w:r w:rsidR="00D025A7" w:rsidRPr="006A2F2C">
        <w:rPr>
          <w:rFonts w:ascii="Times New Roman" w:hAnsi="Times New Roman" w:cs="Times New Roman"/>
          <w:sz w:val="24"/>
          <w:szCs w:val="24"/>
        </w:rPr>
        <w:t>;</w:t>
      </w:r>
      <w:r w:rsidR="008E0676" w:rsidRPr="006A2F2C">
        <w:rPr>
          <w:rFonts w:ascii="Times New Roman" w:hAnsi="Times New Roman" w:cs="Times New Roman"/>
          <w:sz w:val="24"/>
          <w:szCs w:val="24"/>
        </w:rPr>
        <w:t xml:space="preserve"> 679</w:t>
      </w:r>
      <w:r w:rsidR="00D17F80" w:rsidRPr="006A2F2C">
        <w:rPr>
          <w:rFonts w:ascii="Times New Roman" w:hAnsi="Times New Roman" w:cs="Times New Roman"/>
          <w:sz w:val="24"/>
          <w:szCs w:val="24"/>
        </w:rPr>
        <w:t>,8 tys.</w:t>
      </w:r>
      <w:r w:rsidRPr="006A2F2C">
        <w:rPr>
          <w:rFonts w:ascii="Times New Roman" w:hAnsi="Times New Roman" w:cs="Times New Roman"/>
          <w:sz w:val="24"/>
          <w:szCs w:val="24"/>
        </w:rPr>
        <w:t xml:space="preserve"> </w:t>
      </w:r>
      <w:r w:rsidR="00821DFB" w:rsidRPr="006A2F2C">
        <w:rPr>
          <w:rFonts w:ascii="Times New Roman" w:hAnsi="Times New Roman" w:cs="Times New Roman"/>
          <w:sz w:val="24"/>
          <w:szCs w:val="24"/>
        </w:rPr>
        <w:t>dojeżdżających (7,4</w:t>
      </w:r>
      <w:r w:rsidRPr="006A2F2C">
        <w:rPr>
          <w:rFonts w:ascii="Times New Roman" w:hAnsi="Times New Roman" w:cs="Times New Roman"/>
          <w:sz w:val="24"/>
          <w:szCs w:val="24"/>
        </w:rPr>
        <w:t>%)</w:t>
      </w:r>
      <w:r w:rsidR="008E0676" w:rsidRPr="006A2F2C">
        <w:rPr>
          <w:rFonts w:ascii="Times New Roman" w:hAnsi="Times New Roman" w:cs="Times New Roman"/>
          <w:sz w:val="24"/>
          <w:szCs w:val="24"/>
        </w:rPr>
        <w:t xml:space="preserve"> posługiwało</w:t>
      </w:r>
      <w:r w:rsidR="00821DFB" w:rsidRPr="006A2F2C">
        <w:rPr>
          <w:rFonts w:ascii="Times New Roman" w:hAnsi="Times New Roman" w:cs="Times New Roman"/>
          <w:sz w:val="24"/>
          <w:szCs w:val="24"/>
        </w:rPr>
        <w:t xml:space="preserve"> się także samochodami oso</w:t>
      </w:r>
      <w:r w:rsidR="008E0676" w:rsidRPr="006A2F2C">
        <w:rPr>
          <w:rFonts w:ascii="Times New Roman" w:hAnsi="Times New Roman" w:cs="Times New Roman"/>
          <w:sz w:val="24"/>
          <w:szCs w:val="24"/>
        </w:rPr>
        <w:t>bowymi, ale byli</w:t>
      </w:r>
      <w:r w:rsidR="00821DFB" w:rsidRPr="006A2F2C">
        <w:rPr>
          <w:rFonts w:ascii="Times New Roman" w:hAnsi="Times New Roman" w:cs="Times New Roman"/>
          <w:sz w:val="24"/>
          <w:szCs w:val="24"/>
        </w:rPr>
        <w:t xml:space="preserve"> oni w nich jedynie pasażerami</w:t>
      </w:r>
      <w:r w:rsidRPr="006A2F2C">
        <w:rPr>
          <w:rFonts w:ascii="Times New Roman" w:hAnsi="Times New Roman" w:cs="Times New Roman"/>
          <w:sz w:val="24"/>
          <w:szCs w:val="24"/>
        </w:rPr>
        <w:t>.</w:t>
      </w:r>
      <w:r w:rsidR="00821DFB" w:rsidRPr="006A2F2C">
        <w:rPr>
          <w:rFonts w:ascii="Times New Roman" w:hAnsi="Times New Roman" w:cs="Times New Roman"/>
          <w:sz w:val="24"/>
          <w:szCs w:val="24"/>
        </w:rPr>
        <w:t xml:space="preserve"> Natomiast </w:t>
      </w:r>
      <w:r w:rsidR="00D17F80" w:rsidRPr="006A2F2C">
        <w:rPr>
          <w:rFonts w:ascii="Times New Roman" w:hAnsi="Times New Roman" w:cs="Times New Roman"/>
          <w:sz w:val="24"/>
          <w:szCs w:val="24"/>
        </w:rPr>
        <w:t>365,0 tys.</w:t>
      </w:r>
      <w:r w:rsidR="00D97580" w:rsidRPr="006A2F2C">
        <w:rPr>
          <w:rFonts w:ascii="Times New Roman" w:hAnsi="Times New Roman" w:cs="Times New Roman"/>
          <w:sz w:val="24"/>
          <w:szCs w:val="24"/>
        </w:rPr>
        <w:t xml:space="preserve"> osób, czyli 4,0% ogółu</w:t>
      </w:r>
      <w:r w:rsidR="002B6BC2" w:rsidRPr="006A2F2C">
        <w:rPr>
          <w:rFonts w:ascii="Times New Roman" w:hAnsi="Times New Roman" w:cs="Times New Roman"/>
          <w:sz w:val="24"/>
          <w:szCs w:val="24"/>
        </w:rPr>
        <w:t>,</w:t>
      </w:r>
      <w:r w:rsidR="00D97580" w:rsidRPr="006A2F2C">
        <w:rPr>
          <w:rFonts w:ascii="Times New Roman" w:hAnsi="Times New Roman" w:cs="Times New Roman"/>
          <w:sz w:val="24"/>
          <w:szCs w:val="24"/>
        </w:rPr>
        <w:t xml:space="preserve"> korzysta</w:t>
      </w:r>
      <w:r w:rsidR="008E0676" w:rsidRPr="006A2F2C">
        <w:rPr>
          <w:rFonts w:ascii="Times New Roman" w:hAnsi="Times New Roman" w:cs="Times New Roman"/>
          <w:sz w:val="24"/>
          <w:szCs w:val="24"/>
        </w:rPr>
        <w:t>ło</w:t>
      </w:r>
      <w:r w:rsidR="00D97580" w:rsidRPr="006A2F2C">
        <w:rPr>
          <w:rFonts w:ascii="Times New Roman" w:hAnsi="Times New Roman" w:cs="Times New Roman"/>
          <w:sz w:val="24"/>
          <w:szCs w:val="24"/>
        </w:rPr>
        <w:t xml:space="preserve"> </w:t>
      </w:r>
      <w:r w:rsidR="00821DFB" w:rsidRPr="006A2F2C">
        <w:rPr>
          <w:rFonts w:ascii="Times New Roman" w:hAnsi="Times New Roman" w:cs="Times New Roman"/>
          <w:sz w:val="24"/>
          <w:szCs w:val="24"/>
        </w:rPr>
        <w:t xml:space="preserve">z usług prywatnych przewoźników. </w:t>
      </w:r>
      <w:r w:rsidR="00C63319" w:rsidRPr="006A2F2C">
        <w:rPr>
          <w:rFonts w:ascii="Times New Roman" w:hAnsi="Times New Roman" w:cs="Times New Roman"/>
          <w:sz w:val="24"/>
          <w:szCs w:val="24"/>
        </w:rPr>
        <w:t>191</w:t>
      </w:r>
      <w:r w:rsidR="00D17F80" w:rsidRPr="006A2F2C">
        <w:rPr>
          <w:rFonts w:ascii="Times New Roman" w:hAnsi="Times New Roman" w:cs="Times New Roman"/>
          <w:sz w:val="24"/>
          <w:szCs w:val="24"/>
        </w:rPr>
        <w:t xml:space="preserve">,9 tys. </w:t>
      </w:r>
      <w:r w:rsidR="00C63319" w:rsidRPr="006A2F2C">
        <w:rPr>
          <w:rFonts w:ascii="Times New Roman" w:hAnsi="Times New Roman" w:cs="Times New Roman"/>
          <w:sz w:val="24"/>
          <w:szCs w:val="24"/>
        </w:rPr>
        <w:t>osób (2,1%) dojeżdżało</w:t>
      </w:r>
      <w:r w:rsidR="00D97580" w:rsidRPr="006A2F2C">
        <w:rPr>
          <w:rFonts w:ascii="Times New Roman" w:hAnsi="Times New Roman" w:cs="Times New Roman"/>
          <w:sz w:val="24"/>
          <w:szCs w:val="24"/>
        </w:rPr>
        <w:t xml:space="preserve"> pociągiem. </w:t>
      </w:r>
      <w:r w:rsidR="00821DFB" w:rsidRPr="006A2F2C">
        <w:rPr>
          <w:rFonts w:ascii="Times New Roman" w:hAnsi="Times New Roman" w:cs="Times New Roman"/>
          <w:sz w:val="24"/>
          <w:szCs w:val="24"/>
        </w:rPr>
        <w:t xml:space="preserve">Pozostałe </w:t>
      </w:r>
      <w:r w:rsidR="00D97580" w:rsidRPr="006A2F2C">
        <w:rPr>
          <w:rFonts w:ascii="Times New Roman" w:hAnsi="Times New Roman" w:cs="Times New Roman"/>
          <w:sz w:val="24"/>
          <w:szCs w:val="24"/>
        </w:rPr>
        <w:t>5,0</w:t>
      </w:r>
      <w:r w:rsidR="00821DFB" w:rsidRPr="006A2F2C">
        <w:rPr>
          <w:rFonts w:ascii="Times New Roman" w:hAnsi="Times New Roman" w:cs="Times New Roman"/>
          <w:sz w:val="24"/>
          <w:szCs w:val="24"/>
        </w:rPr>
        <w:t>% dojeżdżających (</w:t>
      </w:r>
      <w:r w:rsidR="009B2D34" w:rsidRPr="006A2F2C">
        <w:rPr>
          <w:rFonts w:ascii="Times New Roman" w:hAnsi="Times New Roman" w:cs="Times New Roman"/>
          <w:sz w:val="24"/>
          <w:szCs w:val="24"/>
        </w:rPr>
        <w:t>456</w:t>
      </w:r>
      <w:r w:rsidR="00E13B9C" w:rsidRPr="006A2F2C">
        <w:rPr>
          <w:rFonts w:ascii="Times New Roman" w:hAnsi="Times New Roman" w:cs="Times New Roman"/>
          <w:sz w:val="24"/>
          <w:szCs w:val="24"/>
        </w:rPr>
        <w:t>,4 tys. osób</w:t>
      </w:r>
      <w:r w:rsidR="00821DFB" w:rsidRPr="006A2F2C">
        <w:rPr>
          <w:rFonts w:ascii="Times New Roman" w:hAnsi="Times New Roman" w:cs="Times New Roman"/>
          <w:sz w:val="24"/>
          <w:szCs w:val="24"/>
        </w:rPr>
        <w:t>)</w:t>
      </w:r>
      <w:r w:rsidRPr="006A2F2C">
        <w:rPr>
          <w:rFonts w:ascii="Times New Roman" w:hAnsi="Times New Roman" w:cs="Times New Roman"/>
          <w:sz w:val="24"/>
          <w:szCs w:val="24"/>
        </w:rPr>
        <w:t xml:space="preserve"> </w:t>
      </w:r>
      <w:r w:rsidR="00D97580" w:rsidRPr="006A2F2C">
        <w:rPr>
          <w:rFonts w:ascii="Times New Roman" w:hAnsi="Times New Roman" w:cs="Times New Roman"/>
          <w:sz w:val="24"/>
          <w:szCs w:val="24"/>
        </w:rPr>
        <w:t>dociera</w:t>
      </w:r>
      <w:r w:rsidR="008E0676" w:rsidRPr="006A2F2C">
        <w:rPr>
          <w:rFonts w:ascii="Times New Roman" w:hAnsi="Times New Roman" w:cs="Times New Roman"/>
          <w:sz w:val="24"/>
          <w:szCs w:val="24"/>
        </w:rPr>
        <w:t>ło</w:t>
      </w:r>
      <w:r w:rsidR="00D97580" w:rsidRPr="006A2F2C">
        <w:rPr>
          <w:rFonts w:ascii="Times New Roman" w:hAnsi="Times New Roman" w:cs="Times New Roman"/>
          <w:sz w:val="24"/>
          <w:szCs w:val="24"/>
        </w:rPr>
        <w:t xml:space="preserve"> </w:t>
      </w:r>
      <w:r w:rsidR="00821DFB" w:rsidRPr="006A2F2C">
        <w:rPr>
          <w:rFonts w:ascii="Times New Roman" w:hAnsi="Times New Roman" w:cs="Times New Roman"/>
          <w:sz w:val="24"/>
          <w:szCs w:val="24"/>
        </w:rPr>
        <w:t xml:space="preserve">do pracy innymi pojazdami. A zatem </w:t>
      </w:r>
      <w:r w:rsidR="00BB5091">
        <w:rPr>
          <w:rFonts w:ascii="Times New Roman" w:hAnsi="Times New Roman" w:cs="Times New Roman"/>
          <w:sz w:val="24"/>
          <w:szCs w:val="24"/>
        </w:rPr>
        <w:t>osobiście</w:t>
      </w:r>
      <w:r w:rsidR="00821DFB" w:rsidRPr="006A2F2C">
        <w:rPr>
          <w:rFonts w:ascii="Times New Roman" w:hAnsi="Times New Roman" w:cs="Times New Roman"/>
          <w:sz w:val="24"/>
          <w:szCs w:val="24"/>
        </w:rPr>
        <w:t xml:space="preserve"> prowadzony samochód osob</w:t>
      </w:r>
      <w:r w:rsidR="009C7899" w:rsidRPr="006A2F2C">
        <w:rPr>
          <w:rFonts w:ascii="Times New Roman" w:hAnsi="Times New Roman" w:cs="Times New Roman"/>
          <w:sz w:val="24"/>
          <w:szCs w:val="24"/>
        </w:rPr>
        <w:t>ow</w:t>
      </w:r>
      <w:r w:rsidR="00821DFB" w:rsidRPr="006A2F2C">
        <w:rPr>
          <w:rFonts w:ascii="Times New Roman" w:hAnsi="Times New Roman" w:cs="Times New Roman"/>
          <w:sz w:val="24"/>
          <w:szCs w:val="24"/>
        </w:rPr>
        <w:t>y staje się głównym środkiem dojazdu do pracy, zapewne kosztem komunikacji public</w:t>
      </w:r>
      <w:r w:rsidR="004C43C9" w:rsidRPr="006A2F2C">
        <w:rPr>
          <w:rFonts w:ascii="Times New Roman" w:hAnsi="Times New Roman" w:cs="Times New Roman"/>
          <w:sz w:val="24"/>
          <w:szCs w:val="24"/>
        </w:rPr>
        <w:t>znej (nawet jeśli za taką uznać</w:t>
      </w:r>
      <w:r w:rsidR="00821DFB" w:rsidRPr="006A2F2C">
        <w:rPr>
          <w:rFonts w:ascii="Times New Roman" w:hAnsi="Times New Roman" w:cs="Times New Roman"/>
          <w:sz w:val="24"/>
          <w:szCs w:val="24"/>
        </w:rPr>
        <w:t xml:space="preserve"> też pociąg czy usługę prywatnego przewoźnika</w:t>
      </w:r>
      <w:r w:rsidR="00821DFB" w:rsidRPr="006A2F2C">
        <w:rPr>
          <w:rStyle w:val="Odwoanieprzypisudolnego"/>
          <w:rFonts w:ascii="Times New Roman" w:hAnsi="Times New Roman" w:cs="Times New Roman"/>
          <w:sz w:val="24"/>
          <w:szCs w:val="24"/>
        </w:rPr>
        <w:footnoteReference w:id="5"/>
      </w:r>
      <w:r w:rsidR="00821DFB" w:rsidRPr="006A2F2C">
        <w:rPr>
          <w:rFonts w:ascii="Times New Roman" w:hAnsi="Times New Roman" w:cs="Times New Roman"/>
          <w:sz w:val="24"/>
          <w:szCs w:val="24"/>
        </w:rPr>
        <w:t xml:space="preserve">, to </w:t>
      </w:r>
      <w:r w:rsidR="00393722" w:rsidRPr="006A2F2C">
        <w:rPr>
          <w:rFonts w:ascii="Times New Roman" w:hAnsi="Times New Roman" w:cs="Times New Roman"/>
          <w:sz w:val="24"/>
          <w:szCs w:val="24"/>
        </w:rPr>
        <w:t>udział</w:t>
      </w:r>
      <w:r w:rsidR="00821DFB" w:rsidRPr="006A2F2C">
        <w:rPr>
          <w:rFonts w:ascii="Times New Roman" w:hAnsi="Times New Roman" w:cs="Times New Roman"/>
          <w:sz w:val="24"/>
          <w:szCs w:val="24"/>
        </w:rPr>
        <w:t xml:space="preserve"> dojeżdżających tym</w:t>
      </w:r>
      <w:r w:rsidR="00E13B9C" w:rsidRPr="006A2F2C">
        <w:rPr>
          <w:rFonts w:ascii="Times New Roman" w:hAnsi="Times New Roman" w:cs="Times New Roman"/>
          <w:sz w:val="24"/>
          <w:szCs w:val="24"/>
        </w:rPr>
        <w:t>i</w:t>
      </w:r>
      <w:r w:rsidR="00821DFB" w:rsidRPr="006A2F2C">
        <w:rPr>
          <w:rFonts w:ascii="Times New Roman" w:hAnsi="Times New Roman" w:cs="Times New Roman"/>
          <w:sz w:val="24"/>
          <w:szCs w:val="24"/>
        </w:rPr>
        <w:t xml:space="preserve"> środkami </w:t>
      </w:r>
      <w:r w:rsidR="00257555" w:rsidRPr="006A2F2C">
        <w:rPr>
          <w:rFonts w:ascii="Times New Roman" w:hAnsi="Times New Roman" w:cs="Times New Roman"/>
          <w:sz w:val="24"/>
          <w:szCs w:val="24"/>
        </w:rPr>
        <w:t xml:space="preserve">transportu </w:t>
      </w:r>
      <w:r w:rsidR="00821DFB" w:rsidRPr="006A2F2C">
        <w:rPr>
          <w:rFonts w:ascii="Times New Roman" w:hAnsi="Times New Roman" w:cs="Times New Roman"/>
          <w:sz w:val="24"/>
          <w:szCs w:val="24"/>
        </w:rPr>
        <w:t>wynie</w:t>
      </w:r>
      <w:r w:rsidR="00D97580" w:rsidRPr="006A2F2C">
        <w:rPr>
          <w:rFonts w:ascii="Times New Roman" w:hAnsi="Times New Roman" w:cs="Times New Roman"/>
          <w:sz w:val="24"/>
          <w:szCs w:val="24"/>
        </w:rPr>
        <w:t xml:space="preserve">sie </w:t>
      </w:r>
      <w:r w:rsidR="00037416" w:rsidRPr="006A2F2C">
        <w:rPr>
          <w:rFonts w:ascii="Times New Roman" w:hAnsi="Times New Roman" w:cs="Times New Roman"/>
          <w:sz w:val="24"/>
          <w:szCs w:val="24"/>
        </w:rPr>
        <w:t xml:space="preserve">łącznie </w:t>
      </w:r>
      <w:r w:rsidR="00D97580" w:rsidRPr="006A2F2C">
        <w:rPr>
          <w:rFonts w:ascii="Times New Roman" w:hAnsi="Times New Roman" w:cs="Times New Roman"/>
          <w:sz w:val="24"/>
          <w:szCs w:val="24"/>
        </w:rPr>
        <w:t>31,2</w:t>
      </w:r>
      <w:r w:rsidR="00816A59">
        <w:rPr>
          <w:rFonts w:ascii="Times New Roman" w:hAnsi="Times New Roman" w:cs="Times New Roman"/>
          <w:sz w:val="24"/>
          <w:szCs w:val="24"/>
        </w:rPr>
        <w:t>%, a </w:t>
      </w:r>
      <w:r w:rsidR="00821DFB" w:rsidRPr="006A2F2C">
        <w:rPr>
          <w:rFonts w:ascii="Times New Roman" w:hAnsi="Times New Roman" w:cs="Times New Roman"/>
          <w:sz w:val="24"/>
          <w:szCs w:val="24"/>
        </w:rPr>
        <w:t xml:space="preserve">więc dużo mniej). </w:t>
      </w:r>
    </w:p>
    <w:p w:rsidR="0073536F" w:rsidRPr="006B6525" w:rsidRDefault="00DD6E96" w:rsidP="006B6525">
      <w:pPr>
        <w:pStyle w:val="tekstgl"/>
        <w:spacing w:after="0" w:line="360" w:lineRule="auto"/>
        <w:ind w:firstLine="709"/>
        <w:rPr>
          <w:rFonts w:ascii="Times New Roman" w:hAnsi="Times New Roman" w:cs="Times New Roman"/>
          <w:sz w:val="24"/>
          <w:szCs w:val="24"/>
        </w:rPr>
      </w:pPr>
      <w:r w:rsidRPr="006B6525">
        <w:rPr>
          <w:rFonts w:ascii="Times New Roman" w:hAnsi="Times New Roman" w:cs="Times New Roman"/>
          <w:sz w:val="24"/>
          <w:szCs w:val="24"/>
        </w:rPr>
        <w:t xml:space="preserve">W poszczególnych województwach natomiast rozpatrywane </w:t>
      </w:r>
      <w:r w:rsidR="0073536F" w:rsidRPr="006B6525">
        <w:rPr>
          <w:rFonts w:ascii="Times New Roman" w:hAnsi="Times New Roman" w:cs="Times New Roman"/>
          <w:sz w:val="24"/>
          <w:szCs w:val="24"/>
        </w:rPr>
        <w:t>struktury</w:t>
      </w:r>
      <w:r w:rsidR="00940934" w:rsidRPr="006B6525">
        <w:rPr>
          <w:rFonts w:ascii="Times New Roman" w:hAnsi="Times New Roman" w:cs="Times New Roman"/>
          <w:sz w:val="24"/>
          <w:szCs w:val="24"/>
        </w:rPr>
        <w:t xml:space="preserve"> przeds</w:t>
      </w:r>
      <w:r w:rsidR="0035178A" w:rsidRPr="006B6525">
        <w:rPr>
          <w:rFonts w:ascii="Times New Roman" w:hAnsi="Times New Roman" w:cs="Times New Roman"/>
          <w:sz w:val="24"/>
          <w:szCs w:val="24"/>
        </w:rPr>
        <w:t>ta</w:t>
      </w:r>
      <w:r w:rsidR="00940934" w:rsidRPr="006B6525">
        <w:rPr>
          <w:rFonts w:ascii="Times New Roman" w:hAnsi="Times New Roman" w:cs="Times New Roman"/>
          <w:sz w:val="24"/>
          <w:szCs w:val="24"/>
        </w:rPr>
        <w:t>wiają się następująco</w:t>
      </w:r>
      <w:r w:rsidR="0073536F" w:rsidRPr="006B6525">
        <w:rPr>
          <w:rFonts w:ascii="Times New Roman" w:hAnsi="Times New Roman" w:cs="Times New Roman"/>
          <w:sz w:val="24"/>
          <w:szCs w:val="24"/>
        </w:rPr>
        <w:t xml:space="preserve">. </w:t>
      </w:r>
      <w:r w:rsidRPr="006B6525">
        <w:rPr>
          <w:rFonts w:ascii="Times New Roman" w:hAnsi="Times New Roman" w:cs="Times New Roman"/>
          <w:sz w:val="24"/>
          <w:szCs w:val="24"/>
        </w:rPr>
        <w:t>N</w:t>
      </w:r>
      <w:r w:rsidR="0073536F" w:rsidRPr="006B6525">
        <w:rPr>
          <w:rFonts w:ascii="Times New Roman" w:hAnsi="Times New Roman" w:cs="Times New Roman"/>
          <w:sz w:val="24"/>
          <w:szCs w:val="24"/>
        </w:rPr>
        <w:t>ajwięk</w:t>
      </w:r>
      <w:r w:rsidR="0035178A" w:rsidRPr="006B6525">
        <w:rPr>
          <w:rFonts w:ascii="Times New Roman" w:hAnsi="Times New Roman" w:cs="Times New Roman"/>
          <w:sz w:val="24"/>
          <w:szCs w:val="24"/>
        </w:rPr>
        <w:t>szy</w:t>
      </w:r>
      <w:r w:rsidR="0073536F" w:rsidRPr="006B6525">
        <w:rPr>
          <w:rFonts w:ascii="Times New Roman" w:hAnsi="Times New Roman" w:cs="Times New Roman"/>
          <w:sz w:val="24"/>
          <w:szCs w:val="24"/>
        </w:rPr>
        <w:t xml:space="preserve"> </w:t>
      </w:r>
      <w:r w:rsidR="00393722" w:rsidRPr="006B6525">
        <w:rPr>
          <w:rFonts w:ascii="Times New Roman" w:hAnsi="Times New Roman" w:cs="Times New Roman"/>
          <w:sz w:val="24"/>
          <w:szCs w:val="24"/>
        </w:rPr>
        <w:t>udział</w:t>
      </w:r>
      <w:r w:rsidR="0073536F" w:rsidRPr="006B6525">
        <w:rPr>
          <w:rFonts w:ascii="Times New Roman" w:hAnsi="Times New Roman" w:cs="Times New Roman"/>
          <w:sz w:val="24"/>
          <w:szCs w:val="24"/>
        </w:rPr>
        <w:t xml:space="preserve"> dojeżdżających do pracy </w:t>
      </w:r>
      <w:r w:rsidR="00940934" w:rsidRPr="006B6525">
        <w:rPr>
          <w:rFonts w:ascii="Times New Roman" w:hAnsi="Times New Roman" w:cs="Times New Roman"/>
          <w:sz w:val="24"/>
          <w:szCs w:val="24"/>
        </w:rPr>
        <w:t>środkami komu</w:t>
      </w:r>
      <w:r w:rsidR="0035178A" w:rsidRPr="006B6525">
        <w:rPr>
          <w:rFonts w:ascii="Times New Roman" w:hAnsi="Times New Roman" w:cs="Times New Roman"/>
          <w:sz w:val="24"/>
          <w:szCs w:val="24"/>
        </w:rPr>
        <w:t>n</w:t>
      </w:r>
      <w:r w:rsidR="00940934" w:rsidRPr="006B6525">
        <w:rPr>
          <w:rFonts w:ascii="Times New Roman" w:hAnsi="Times New Roman" w:cs="Times New Roman"/>
          <w:sz w:val="24"/>
          <w:szCs w:val="24"/>
        </w:rPr>
        <w:t>i</w:t>
      </w:r>
      <w:r w:rsidR="0035178A" w:rsidRPr="006B6525">
        <w:rPr>
          <w:rFonts w:ascii="Times New Roman" w:hAnsi="Times New Roman" w:cs="Times New Roman"/>
          <w:sz w:val="24"/>
          <w:szCs w:val="24"/>
        </w:rPr>
        <w:t>k</w:t>
      </w:r>
      <w:r w:rsidR="00940934" w:rsidRPr="006B6525">
        <w:rPr>
          <w:rFonts w:ascii="Times New Roman" w:hAnsi="Times New Roman" w:cs="Times New Roman"/>
          <w:sz w:val="24"/>
          <w:szCs w:val="24"/>
        </w:rPr>
        <w:t>a</w:t>
      </w:r>
      <w:r w:rsidR="0035178A" w:rsidRPr="006B6525">
        <w:rPr>
          <w:rFonts w:ascii="Times New Roman" w:hAnsi="Times New Roman" w:cs="Times New Roman"/>
          <w:sz w:val="24"/>
          <w:szCs w:val="24"/>
        </w:rPr>
        <w:t>c</w:t>
      </w:r>
      <w:r w:rsidR="00940934" w:rsidRPr="006B6525">
        <w:rPr>
          <w:rFonts w:ascii="Times New Roman" w:hAnsi="Times New Roman" w:cs="Times New Roman"/>
          <w:sz w:val="24"/>
          <w:szCs w:val="24"/>
        </w:rPr>
        <w:t>j</w:t>
      </w:r>
      <w:r w:rsidR="0035178A" w:rsidRPr="006B6525">
        <w:rPr>
          <w:rFonts w:ascii="Times New Roman" w:hAnsi="Times New Roman" w:cs="Times New Roman"/>
          <w:sz w:val="24"/>
          <w:szCs w:val="24"/>
        </w:rPr>
        <w:t xml:space="preserve">i </w:t>
      </w:r>
      <w:r w:rsidR="00940934" w:rsidRPr="006B6525">
        <w:rPr>
          <w:rFonts w:ascii="Times New Roman" w:hAnsi="Times New Roman" w:cs="Times New Roman"/>
          <w:sz w:val="24"/>
          <w:szCs w:val="24"/>
        </w:rPr>
        <w:t>publicznej (w tym mi</w:t>
      </w:r>
      <w:r w:rsidR="0035178A" w:rsidRPr="006B6525">
        <w:rPr>
          <w:rFonts w:ascii="Times New Roman" w:hAnsi="Times New Roman" w:cs="Times New Roman"/>
          <w:sz w:val="24"/>
          <w:szCs w:val="24"/>
        </w:rPr>
        <w:t>e</w:t>
      </w:r>
      <w:r w:rsidR="00940934" w:rsidRPr="006B6525">
        <w:rPr>
          <w:rFonts w:ascii="Times New Roman" w:hAnsi="Times New Roman" w:cs="Times New Roman"/>
          <w:sz w:val="24"/>
          <w:szCs w:val="24"/>
        </w:rPr>
        <w:t xml:space="preserve">jskiej) </w:t>
      </w:r>
      <w:r w:rsidR="0073536F" w:rsidRPr="006B6525">
        <w:rPr>
          <w:rFonts w:ascii="Times New Roman" w:hAnsi="Times New Roman" w:cs="Times New Roman"/>
          <w:sz w:val="24"/>
          <w:szCs w:val="24"/>
        </w:rPr>
        <w:t xml:space="preserve">wykazuje województwo </w:t>
      </w:r>
      <w:r w:rsidR="00940934" w:rsidRPr="006B6525">
        <w:rPr>
          <w:rFonts w:ascii="Times New Roman" w:hAnsi="Times New Roman" w:cs="Times New Roman"/>
          <w:sz w:val="24"/>
          <w:szCs w:val="24"/>
        </w:rPr>
        <w:t>mazowieckie (35,1</w:t>
      </w:r>
      <w:r w:rsidR="0073536F" w:rsidRPr="006B6525">
        <w:rPr>
          <w:rFonts w:ascii="Times New Roman" w:hAnsi="Times New Roman" w:cs="Times New Roman"/>
          <w:sz w:val="24"/>
          <w:szCs w:val="24"/>
        </w:rPr>
        <w:t>%), zaś najmniejszy –</w:t>
      </w:r>
      <w:r w:rsidR="00940934" w:rsidRPr="006B6525">
        <w:rPr>
          <w:rFonts w:ascii="Times New Roman" w:hAnsi="Times New Roman" w:cs="Times New Roman"/>
          <w:sz w:val="24"/>
          <w:szCs w:val="24"/>
        </w:rPr>
        <w:t xml:space="preserve"> </w:t>
      </w:r>
      <w:r w:rsidR="0073536F" w:rsidRPr="006B6525">
        <w:rPr>
          <w:rFonts w:ascii="Times New Roman" w:hAnsi="Times New Roman" w:cs="Times New Roman"/>
          <w:sz w:val="24"/>
          <w:szCs w:val="24"/>
        </w:rPr>
        <w:t>opol</w:t>
      </w:r>
      <w:r w:rsidR="00940934" w:rsidRPr="006B6525">
        <w:rPr>
          <w:rFonts w:ascii="Times New Roman" w:hAnsi="Times New Roman" w:cs="Times New Roman"/>
          <w:sz w:val="24"/>
          <w:szCs w:val="24"/>
        </w:rPr>
        <w:t>skie (12,1</w:t>
      </w:r>
      <w:r w:rsidR="0073536F" w:rsidRPr="006B6525">
        <w:rPr>
          <w:rFonts w:ascii="Times New Roman" w:hAnsi="Times New Roman" w:cs="Times New Roman"/>
          <w:sz w:val="24"/>
          <w:szCs w:val="24"/>
        </w:rPr>
        <w:t>%).</w:t>
      </w:r>
      <w:r w:rsidR="00940934" w:rsidRPr="006B6525">
        <w:rPr>
          <w:rFonts w:ascii="Times New Roman" w:hAnsi="Times New Roman" w:cs="Times New Roman"/>
          <w:sz w:val="24"/>
          <w:szCs w:val="24"/>
        </w:rPr>
        <w:t xml:space="preserve"> Z kolei </w:t>
      </w:r>
      <w:r w:rsidR="00AE0C09" w:rsidRPr="006B6525">
        <w:rPr>
          <w:rFonts w:ascii="Times New Roman" w:hAnsi="Times New Roman" w:cs="Times New Roman"/>
          <w:sz w:val="24"/>
          <w:szCs w:val="24"/>
        </w:rPr>
        <w:t xml:space="preserve">w zakresie </w:t>
      </w:r>
      <w:r w:rsidR="00393722" w:rsidRPr="006B6525">
        <w:rPr>
          <w:rFonts w:ascii="Times New Roman" w:hAnsi="Times New Roman" w:cs="Times New Roman"/>
          <w:sz w:val="24"/>
          <w:szCs w:val="24"/>
        </w:rPr>
        <w:t>udziału</w:t>
      </w:r>
      <w:r w:rsidR="00037416" w:rsidRPr="006B6525">
        <w:rPr>
          <w:rFonts w:ascii="Times New Roman" w:hAnsi="Times New Roman" w:cs="Times New Roman"/>
          <w:sz w:val="24"/>
          <w:szCs w:val="24"/>
        </w:rPr>
        <w:t xml:space="preserve"> </w:t>
      </w:r>
      <w:r w:rsidR="00940934" w:rsidRPr="006B6525">
        <w:rPr>
          <w:rFonts w:ascii="Times New Roman" w:hAnsi="Times New Roman" w:cs="Times New Roman"/>
          <w:sz w:val="24"/>
          <w:szCs w:val="24"/>
        </w:rPr>
        <w:t xml:space="preserve">dojeżdżających </w:t>
      </w:r>
      <w:r w:rsidR="00037416" w:rsidRPr="006B6525">
        <w:rPr>
          <w:rFonts w:ascii="Times New Roman" w:hAnsi="Times New Roman" w:cs="Times New Roman"/>
          <w:sz w:val="24"/>
          <w:szCs w:val="24"/>
        </w:rPr>
        <w:t xml:space="preserve">do pracy </w:t>
      </w:r>
      <w:r w:rsidR="00940934" w:rsidRPr="006B6525">
        <w:rPr>
          <w:rFonts w:ascii="Times New Roman" w:hAnsi="Times New Roman" w:cs="Times New Roman"/>
          <w:sz w:val="24"/>
          <w:szCs w:val="24"/>
        </w:rPr>
        <w:t>pojazdami prywat</w:t>
      </w:r>
      <w:r w:rsidR="0035178A" w:rsidRPr="006B6525">
        <w:rPr>
          <w:rFonts w:ascii="Times New Roman" w:hAnsi="Times New Roman" w:cs="Times New Roman"/>
          <w:sz w:val="24"/>
          <w:szCs w:val="24"/>
        </w:rPr>
        <w:t>ny</w:t>
      </w:r>
      <w:r w:rsidR="00940934" w:rsidRPr="006B6525">
        <w:rPr>
          <w:rFonts w:ascii="Times New Roman" w:hAnsi="Times New Roman" w:cs="Times New Roman"/>
          <w:sz w:val="24"/>
          <w:szCs w:val="24"/>
        </w:rPr>
        <w:t>ch przewoźników dom</w:t>
      </w:r>
      <w:r w:rsidR="0035178A" w:rsidRPr="006B6525">
        <w:rPr>
          <w:rFonts w:ascii="Times New Roman" w:hAnsi="Times New Roman" w:cs="Times New Roman"/>
          <w:sz w:val="24"/>
          <w:szCs w:val="24"/>
        </w:rPr>
        <w:t>i</w:t>
      </w:r>
      <w:r w:rsidR="00940934" w:rsidRPr="006B6525">
        <w:rPr>
          <w:rFonts w:ascii="Times New Roman" w:hAnsi="Times New Roman" w:cs="Times New Roman"/>
          <w:sz w:val="24"/>
          <w:szCs w:val="24"/>
        </w:rPr>
        <w:t>n</w:t>
      </w:r>
      <w:r w:rsidR="0035178A" w:rsidRPr="006B6525">
        <w:rPr>
          <w:rFonts w:ascii="Times New Roman" w:hAnsi="Times New Roman" w:cs="Times New Roman"/>
          <w:sz w:val="24"/>
          <w:szCs w:val="24"/>
        </w:rPr>
        <w:t>u</w:t>
      </w:r>
      <w:r w:rsidR="00940934" w:rsidRPr="006B6525">
        <w:rPr>
          <w:rFonts w:ascii="Times New Roman" w:hAnsi="Times New Roman" w:cs="Times New Roman"/>
          <w:sz w:val="24"/>
          <w:szCs w:val="24"/>
        </w:rPr>
        <w:t xml:space="preserve">je </w:t>
      </w:r>
      <w:r w:rsidR="00A637F2" w:rsidRPr="006B6525">
        <w:rPr>
          <w:rFonts w:ascii="Times New Roman" w:hAnsi="Times New Roman" w:cs="Times New Roman"/>
          <w:sz w:val="24"/>
          <w:szCs w:val="24"/>
        </w:rPr>
        <w:t>województwo m</w:t>
      </w:r>
      <w:r w:rsidR="00940934" w:rsidRPr="006B6525">
        <w:rPr>
          <w:rFonts w:ascii="Times New Roman" w:hAnsi="Times New Roman" w:cs="Times New Roman"/>
          <w:sz w:val="24"/>
          <w:szCs w:val="24"/>
        </w:rPr>
        <w:t>ałopolsk</w:t>
      </w:r>
      <w:r w:rsidR="00A637F2" w:rsidRPr="006B6525">
        <w:rPr>
          <w:rFonts w:ascii="Times New Roman" w:hAnsi="Times New Roman" w:cs="Times New Roman"/>
          <w:sz w:val="24"/>
          <w:szCs w:val="24"/>
        </w:rPr>
        <w:t>ie</w:t>
      </w:r>
      <w:r w:rsidR="00940934" w:rsidRPr="006B6525">
        <w:rPr>
          <w:rFonts w:ascii="Times New Roman" w:hAnsi="Times New Roman" w:cs="Times New Roman"/>
          <w:sz w:val="24"/>
          <w:szCs w:val="24"/>
        </w:rPr>
        <w:t xml:space="preserve"> (9</w:t>
      </w:r>
      <w:r w:rsidR="0073536F" w:rsidRPr="006B6525">
        <w:rPr>
          <w:rFonts w:ascii="Times New Roman" w:hAnsi="Times New Roman" w:cs="Times New Roman"/>
          <w:sz w:val="24"/>
          <w:szCs w:val="24"/>
        </w:rPr>
        <w:t xml:space="preserve">,6%), a najmniejszy </w:t>
      </w:r>
      <w:r w:rsidR="00393722" w:rsidRPr="006B6525">
        <w:rPr>
          <w:rFonts w:ascii="Times New Roman" w:hAnsi="Times New Roman" w:cs="Times New Roman"/>
          <w:sz w:val="24"/>
          <w:szCs w:val="24"/>
        </w:rPr>
        <w:t>udział</w:t>
      </w:r>
      <w:r w:rsidR="0073536F" w:rsidRPr="006B6525">
        <w:rPr>
          <w:rFonts w:ascii="Times New Roman" w:hAnsi="Times New Roman" w:cs="Times New Roman"/>
          <w:sz w:val="24"/>
          <w:szCs w:val="24"/>
        </w:rPr>
        <w:t xml:space="preserve"> dojeżdżających </w:t>
      </w:r>
      <w:r w:rsidR="00940934" w:rsidRPr="006B6525">
        <w:rPr>
          <w:rFonts w:ascii="Times New Roman" w:hAnsi="Times New Roman" w:cs="Times New Roman"/>
          <w:sz w:val="24"/>
          <w:szCs w:val="24"/>
        </w:rPr>
        <w:t>tym sposobem</w:t>
      </w:r>
      <w:r w:rsidR="0073536F" w:rsidRPr="006B6525">
        <w:rPr>
          <w:rFonts w:ascii="Times New Roman" w:hAnsi="Times New Roman" w:cs="Times New Roman"/>
          <w:sz w:val="24"/>
          <w:szCs w:val="24"/>
        </w:rPr>
        <w:t xml:space="preserve"> zaobserwowano w województwie </w:t>
      </w:r>
      <w:r w:rsidR="00940934" w:rsidRPr="006B6525">
        <w:rPr>
          <w:rFonts w:ascii="Times New Roman" w:hAnsi="Times New Roman" w:cs="Times New Roman"/>
          <w:sz w:val="24"/>
          <w:szCs w:val="24"/>
        </w:rPr>
        <w:t>podlaskim (1,2</w:t>
      </w:r>
      <w:r w:rsidR="00816A59">
        <w:rPr>
          <w:rFonts w:ascii="Times New Roman" w:hAnsi="Times New Roman" w:cs="Times New Roman"/>
          <w:sz w:val="24"/>
          <w:szCs w:val="24"/>
        </w:rPr>
        <w:t>%). W </w:t>
      </w:r>
      <w:r w:rsidR="0073536F" w:rsidRPr="006B6525">
        <w:rPr>
          <w:rFonts w:ascii="Times New Roman" w:hAnsi="Times New Roman" w:cs="Times New Roman"/>
          <w:sz w:val="24"/>
          <w:szCs w:val="24"/>
        </w:rPr>
        <w:t xml:space="preserve">przypadku </w:t>
      </w:r>
      <w:r w:rsidR="00EE208B" w:rsidRPr="006B6525">
        <w:rPr>
          <w:rFonts w:ascii="Times New Roman" w:hAnsi="Times New Roman" w:cs="Times New Roman"/>
          <w:sz w:val="24"/>
          <w:szCs w:val="24"/>
        </w:rPr>
        <w:t>udziału</w:t>
      </w:r>
      <w:r w:rsidR="00037416" w:rsidRPr="006B6525">
        <w:rPr>
          <w:rFonts w:ascii="Times New Roman" w:hAnsi="Times New Roman" w:cs="Times New Roman"/>
          <w:sz w:val="24"/>
          <w:szCs w:val="24"/>
        </w:rPr>
        <w:t xml:space="preserve"> </w:t>
      </w:r>
      <w:r w:rsidR="002238DA" w:rsidRPr="006B6525">
        <w:rPr>
          <w:rFonts w:ascii="Times New Roman" w:hAnsi="Times New Roman" w:cs="Times New Roman"/>
          <w:sz w:val="24"/>
          <w:szCs w:val="24"/>
        </w:rPr>
        <w:t>dojeżdża</w:t>
      </w:r>
      <w:r w:rsidR="00EE208B" w:rsidRPr="006B6525">
        <w:rPr>
          <w:rFonts w:ascii="Times New Roman" w:hAnsi="Times New Roman" w:cs="Times New Roman"/>
          <w:sz w:val="24"/>
          <w:szCs w:val="24"/>
        </w:rPr>
        <w:t>jących</w:t>
      </w:r>
      <w:r w:rsidR="0073536F" w:rsidRPr="006B6525">
        <w:rPr>
          <w:rFonts w:ascii="Times New Roman" w:hAnsi="Times New Roman" w:cs="Times New Roman"/>
          <w:sz w:val="24"/>
          <w:szCs w:val="24"/>
        </w:rPr>
        <w:t xml:space="preserve"> do pracy </w:t>
      </w:r>
      <w:r w:rsidR="00940934" w:rsidRPr="006B6525">
        <w:rPr>
          <w:rFonts w:ascii="Times New Roman" w:hAnsi="Times New Roman" w:cs="Times New Roman"/>
          <w:sz w:val="24"/>
          <w:szCs w:val="24"/>
        </w:rPr>
        <w:t xml:space="preserve">samochodem osobowym (w charakterze kierowcy) </w:t>
      </w:r>
      <w:r w:rsidR="0073536F" w:rsidRPr="006B6525">
        <w:rPr>
          <w:rFonts w:ascii="Times New Roman" w:hAnsi="Times New Roman" w:cs="Times New Roman"/>
          <w:sz w:val="24"/>
          <w:szCs w:val="24"/>
        </w:rPr>
        <w:t>przeważa</w:t>
      </w:r>
      <w:r w:rsidR="00940934" w:rsidRPr="006B6525">
        <w:rPr>
          <w:rFonts w:ascii="Times New Roman" w:hAnsi="Times New Roman" w:cs="Times New Roman"/>
          <w:sz w:val="24"/>
          <w:szCs w:val="24"/>
        </w:rPr>
        <w:t xml:space="preserve"> </w:t>
      </w:r>
      <w:r w:rsidR="00EE208B" w:rsidRPr="006B6525">
        <w:rPr>
          <w:rFonts w:ascii="Times New Roman" w:hAnsi="Times New Roman" w:cs="Times New Roman"/>
          <w:sz w:val="24"/>
          <w:szCs w:val="24"/>
        </w:rPr>
        <w:t>województwo opolskie</w:t>
      </w:r>
      <w:r w:rsidR="00940934" w:rsidRPr="006B6525">
        <w:rPr>
          <w:rFonts w:ascii="Times New Roman" w:hAnsi="Times New Roman" w:cs="Times New Roman"/>
          <w:sz w:val="24"/>
          <w:szCs w:val="24"/>
        </w:rPr>
        <w:t xml:space="preserve"> (63,3%)</w:t>
      </w:r>
      <w:r w:rsidR="00037416" w:rsidRPr="006B6525">
        <w:rPr>
          <w:rFonts w:ascii="Times New Roman" w:hAnsi="Times New Roman" w:cs="Times New Roman"/>
          <w:sz w:val="24"/>
          <w:szCs w:val="24"/>
        </w:rPr>
        <w:t>, zaś najniższą wartością</w:t>
      </w:r>
      <w:r w:rsidR="0073536F" w:rsidRPr="006B6525">
        <w:rPr>
          <w:rFonts w:ascii="Times New Roman" w:hAnsi="Times New Roman" w:cs="Times New Roman"/>
          <w:sz w:val="24"/>
          <w:szCs w:val="24"/>
        </w:rPr>
        <w:t xml:space="preserve"> w tej mierze charakteryzuj</w:t>
      </w:r>
      <w:r w:rsidR="00D17EC6" w:rsidRPr="006B6525">
        <w:rPr>
          <w:rFonts w:ascii="Times New Roman" w:hAnsi="Times New Roman" w:cs="Times New Roman"/>
          <w:sz w:val="24"/>
          <w:szCs w:val="24"/>
        </w:rPr>
        <w:t xml:space="preserve">e się </w:t>
      </w:r>
      <w:r w:rsidR="00412103" w:rsidRPr="006B6525">
        <w:rPr>
          <w:rFonts w:ascii="Times New Roman" w:hAnsi="Times New Roman" w:cs="Times New Roman"/>
          <w:sz w:val="24"/>
          <w:szCs w:val="24"/>
        </w:rPr>
        <w:t>województwo m</w:t>
      </w:r>
      <w:r w:rsidR="00037416" w:rsidRPr="006B6525">
        <w:rPr>
          <w:rFonts w:ascii="Times New Roman" w:hAnsi="Times New Roman" w:cs="Times New Roman"/>
          <w:sz w:val="24"/>
          <w:szCs w:val="24"/>
        </w:rPr>
        <w:t>azowieckie – 48,7</w:t>
      </w:r>
      <w:r w:rsidR="00D17EC6" w:rsidRPr="006B6525">
        <w:rPr>
          <w:rFonts w:ascii="Times New Roman" w:hAnsi="Times New Roman" w:cs="Times New Roman"/>
          <w:sz w:val="24"/>
          <w:szCs w:val="24"/>
        </w:rPr>
        <w:t xml:space="preserve">%. </w:t>
      </w:r>
      <w:r w:rsidR="0035178A" w:rsidRPr="006B6525">
        <w:rPr>
          <w:rFonts w:ascii="Times New Roman" w:hAnsi="Times New Roman" w:cs="Times New Roman"/>
          <w:sz w:val="24"/>
          <w:szCs w:val="24"/>
        </w:rPr>
        <w:t>Do</w:t>
      </w:r>
      <w:r w:rsidR="00A11E24" w:rsidRPr="006B6525">
        <w:rPr>
          <w:rFonts w:ascii="Times New Roman" w:hAnsi="Times New Roman" w:cs="Times New Roman"/>
          <w:sz w:val="24"/>
          <w:szCs w:val="24"/>
        </w:rPr>
        <w:t>mina</w:t>
      </w:r>
      <w:r w:rsidR="00400316" w:rsidRPr="006B6525">
        <w:rPr>
          <w:rFonts w:ascii="Times New Roman" w:hAnsi="Times New Roman" w:cs="Times New Roman"/>
          <w:sz w:val="24"/>
          <w:szCs w:val="24"/>
        </w:rPr>
        <w:t>cja stosowania tego</w:t>
      </w:r>
      <w:r w:rsidR="00A11E24" w:rsidRPr="006B6525">
        <w:rPr>
          <w:rFonts w:ascii="Times New Roman" w:hAnsi="Times New Roman" w:cs="Times New Roman"/>
          <w:sz w:val="24"/>
          <w:szCs w:val="24"/>
        </w:rPr>
        <w:t xml:space="preserve"> </w:t>
      </w:r>
      <w:r w:rsidR="00400316" w:rsidRPr="006B6525">
        <w:rPr>
          <w:rFonts w:ascii="Times New Roman" w:hAnsi="Times New Roman" w:cs="Times New Roman"/>
          <w:sz w:val="24"/>
          <w:szCs w:val="24"/>
        </w:rPr>
        <w:t>środka</w:t>
      </w:r>
      <w:r w:rsidR="00A11E24" w:rsidRPr="006B6525">
        <w:rPr>
          <w:rFonts w:ascii="Times New Roman" w:hAnsi="Times New Roman" w:cs="Times New Roman"/>
          <w:sz w:val="24"/>
          <w:szCs w:val="24"/>
        </w:rPr>
        <w:t xml:space="preserve"> </w:t>
      </w:r>
      <w:r w:rsidR="00257555" w:rsidRPr="006B6525">
        <w:rPr>
          <w:rFonts w:ascii="Times New Roman" w:hAnsi="Times New Roman" w:cs="Times New Roman"/>
          <w:sz w:val="24"/>
          <w:szCs w:val="24"/>
        </w:rPr>
        <w:t xml:space="preserve">transportu </w:t>
      </w:r>
      <w:r w:rsidR="00400316" w:rsidRPr="006B6525">
        <w:rPr>
          <w:rFonts w:ascii="Times New Roman" w:hAnsi="Times New Roman" w:cs="Times New Roman"/>
          <w:sz w:val="24"/>
          <w:szCs w:val="24"/>
        </w:rPr>
        <w:t xml:space="preserve">podczas </w:t>
      </w:r>
      <w:r w:rsidR="00A11E24" w:rsidRPr="006B6525">
        <w:rPr>
          <w:rFonts w:ascii="Times New Roman" w:hAnsi="Times New Roman" w:cs="Times New Roman"/>
          <w:sz w:val="24"/>
          <w:szCs w:val="24"/>
        </w:rPr>
        <w:t>dojazdu do p</w:t>
      </w:r>
      <w:r w:rsidR="0035178A" w:rsidRPr="006B6525">
        <w:rPr>
          <w:rFonts w:ascii="Times New Roman" w:hAnsi="Times New Roman" w:cs="Times New Roman"/>
          <w:sz w:val="24"/>
          <w:szCs w:val="24"/>
        </w:rPr>
        <w:t>r</w:t>
      </w:r>
      <w:r w:rsidR="00A11E24" w:rsidRPr="006B6525">
        <w:rPr>
          <w:rFonts w:ascii="Times New Roman" w:hAnsi="Times New Roman" w:cs="Times New Roman"/>
          <w:sz w:val="24"/>
          <w:szCs w:val="24"/>
        </w:rPr>
        <w:t>a</w:t>
      </w:r>
      <w:r w:rsidR="0035178A" w:rsidRPr="006B6525">
        <w:rPr>
          <w:rFonts w:ascii="Times New Roman" w:hAnsi="Times New Roman" w:cs="Times New Roman"/>
          <w:sz w:val="24"/>
          <w:szCs w:val="24"/>
        </w:rPr>
        <w:t>cy jest</w:t>
      </w:r>
      <w:r w:rsidR="00A11E24" w:rsidRPr="006B6525">
        <w:rPr>
          <w:rFonts w:ascii="Times New Roman" w:hAnsi="Times New Roman" w:cs="Times New Roman"/>
          <w:sz w:val="24"/>
          <w:szCs w:val="24"/>
        </w:rPr>
        <w:t xml:space="preserve"> widoczna we wszystkich regionach. </w:t>
      </w:r>
      <w:r w:rsidR="0073536F" w:rsidRPr="006B6525">
        <w:rPr>
          <w:rFonts w:ascii="Times New Roman" w:hAnsi="Times New Roman" w:cs="Times New Roman"/>
          <w:sz w:val="24"/>
          <w:szCs w:val="24"/>
        </w:rPr>
        <w:t xml:space="preserve">Z kolei </w:t>
      </w:r>
      <w:r w:rsidR="000A6D42" w:rsidRPr="006B6525">
        <w:rPr>
          <w:rFonts w:ascii="Times New Roman" w:hAnsi="Times New Roman" w:cs="Times New Roman"/>
          <w:sz w:val="24"/>
          <w:szCs w:val="24"/>
        </w:rPr>
        <w:t>s</w:t>
      </w:r>
      <w:r w:rsidR="0035178A" w:rsidRPr="006B6525">
        <w:rPr>
          <w:rFonts w:ascii="Times New Roman" w:hAnsi="Times New Roman" w:cs="Times New Roman"/>
          <w:sz w:val="24"/>
          <w:szCs w:val="24"/>
        </w:rPr>
        <w:t>a</w:t>
      </w:r>
      <w:r w:rsidR="000A6D42" w:rsidRPr="006B6525">
        <w:rPr>
          <w:rFonts w:ascii="Times New Roman" w:hAnsi="Times New Roman" w:cs="Times New Roman"/>
          <w:sz w:val="24"/>
          <w:szCs w:val="24"/>
        </w:rPr>
        <w:t>mochodem osob</w:t>
      </w:r>
      <w:r w:rsidR="0035178A" w:rsidRPr="006B6525">
        <w:rPr>
          <w:rFonts w:ascii="Times New Roman" w:hAnsi="Times New Roman" w:cs="Times New Roman"/>
          <w:sz w:val="24"/>
          <w:szCs w:val="24"/>
        </w:rPr>
        <w:t>ow</w:t>
      </w:r>
      <w:r w:rsidR="000A6D42" w:rsidRPr="006B6525">
        <w:rPr>
          <w:rFonts w:ascii="Times New Roman" w:hAnsi="Times New Roman" w:cs="Times New Roman"/>
          <w:sz w:val="24"/>
          <w:szCs w:val="24"/>
        </w:rPr>
        <w:t>ym (ale w r</w:t>
      </w:r>
      <w:r w:rsidR="0035178A" w:rsidRPr="006B6525">
        <w:rPr>
          <w:rFonts w:ascii="Times New Roman" w:hAnsi="Times New Roman" w:cs="Times New Roman"/>
          <w:sz w:val="24"/>
          <w:szCs w:val="24"/>
        </w:rPr>
        <w:t>o</w:t>
      </w:r>
      <w:r w:rsidR="000A6D42" w:rsidRPr="006B6525">
        <w:rPr>
          <w:rFonts w:ascii="Times New Roman" w:hAnsi="Times New Roman" w:cs="Times New Roman"/>
          <w:sz w:val="24"/>
          <w:szCs w:val="24"/>
        </w:rPr>
        <w:t>li pasażera) dojeżd</w:t>
      </w:r>
      <w:r w:rsidR="0035178A" w:rsidRPr="006B6525">
        <w:rPr>
          <w:rFonts w:ascii="Times New Roman" w:hAnsi="Times New Roman" w:cs="Times New Roman"/>
          <w:sz w:val="24"/>
          <w:szCs w:val="24"/>
        </w:rPr>
        <w:t>ż</w:t>
      </w:r>
      <w:r w:rsidR="000A6D42" w:rsidRPr="006B6525">
        <w:rPr>
          <w:rFonts w:ascii="Times New Roman" w:hAnsi="Times New Roman" w:cs="Times New Roman"/>
          <w:sz w:val="24"/>
          <w:szCs w:val="24"/>
        </w:rPr>
        <w:t xml:space="preserve">ało do pracy </w:t>
      </w:r>
      <w:r w:rsidR="0035178A" w:rsidRPr="006B6525">
        <w:rPr>
          <w:rFonts w:ascii="Times New Roman" w:hAnsi="Times New Roman" w:cs="Times New Roman"/>
          <w:sz w:val="24"/>
          <w:szCs w:val="24"/>
        </w:rPr>
        <w:t xml:space="preserve">spośród województw </w:t>
      </w:r>
      <w:r w:rsidR="00393722" w:rsidRPr="006B6525">
        <w:rPr>
          <w:rFonts w:ascii="Times New Roman" w:hAnsi="Times New Roman" w:cs="Times New Roman"/>
          <w:sz w:val="24"/>
          <w:szCs w:val="24"/>
        </w:rPr>
        <w:t xml:space="preserve">udziałowo </w:t>
      </w:r>
      <w:r w:rsidR="000A6D42" w:rsidRPr="006B6525">
        <w:rPr>
          <w:rFonts w:ascii="Times New Roman" w:hAnsi="Times New Roman" w:cs="Times New Roman"/>
          <w:sz w:val="24"/>
          <w:szCs w:val="24"/>
        </w:rPr>
        <w:t>najwięce</w:t>
      </w:r>
      <w:r w:rsidR="0035178A" w:rsidRPr="006B6525">
        <w:rPr>
          <w:rFonts w:ascii="Times New Roman" w:hAnsi="Times New Roman" w:cs="Times New Roman"/>
          <w:sz w:val="24"/>
          <w:szCs w:val="24"/>
        </w:rPr>
        <w:t>j</w:t>
      </w:r>
      <w:r w:rsidR="000A6D42" w:rsidRPr="006B6525">
        <w:rPr>
          <w:rFonts w:ascii="Times New Roman" w:hAnsi="Times New Roman" w:cs="Times New Roman"/>
          <w:sz w:val="24"/>
          <w:szCs w:val="24"/>
        </w:rPr>
        <w:t xml:space="preserve"> – bo 12,3% </w:t>
      </w:r>
      <w:r w:rsidR="0035178A" w:rsidRPr="006B6525">
        <w:rPr>
          <w:rFonts w:ascii="Times New Roman" w:hAnsi="Times New Roman" w:cs="Times New Roman"/>
          <w:sz w:val="24"/>
          <w:szCs w:val="24"/>
        </w:rPr>
        <w:t>–</w:t>
      </w:r>
      <w:r w:rsidR="000A6D42" w:rsidRPr="006B6525">
        <w:rPr>
          <w:rFonts w:ascii="Times New Roman" w:hAnsi="Times New Roman" w:cs="Times New Roman"/>
          <w:sz w:val="24"/>
          <w:szCs w:val="24"/>
        </w:rPr>
        <w:t xml:space="preserve"> os</w:t>
      </w:r>
      <w:r w:rsidR="0035178A" w:rsidRPr="006B6525">
        <w:rPr>
          <w:rFonts w:ascii="Times New Roman" w:hAnsi="Times New Roman" w:cs="Times New Roman"/>
          <w:sz w:val="24"/>
          <w:szCs w:val="24"/>
        </w:rPr>
        <w:t>ó</w:t>
      </w:r>
      <w:r w:rsidR="000A6D42" w:rsidRPr="006B6525">
        <w:rPr>
          <w:rFonts w:ascii="Times New Roman" w:hAnsi="Times New Roman" w:cs="Times New Roman"/>
          <w:sz w:val="24"/>
          <w:szCs w:val="24"/>
        </w:rPr>
        <w:t>b w wojew</w:t>
      </w:r>
      <w:r w:rsidR="0035178A" w:rsidRPr="006B6525">
        <w:rPr>
          <w:rFonts w:ascii="Times New Roman" w:hAnsi="Times New Roman" w:cs="Times New Roman"/>
          <w:sz w:val="24"/>
          <w:szCs w:val="24"/>
        </w:rPr>
        <w:t>ó</w:t>
      </w:r>
      <w:r w:rsidR="000A6D42" w:rsidRPr="006B6525">
        <w:rPr>
          <w:rFonts w:ascii="Times New Roman" w:hAnsi="Times New Roman" w:cs="Times New Roman"/>
          <w:sz w:val="24"/>
          <w:szCs w:val="24"/>
        </w:rPr>
        <w:t xml:space="preserve">dztwie lubuskim. </w:t>
      </w:r>
      <w:r w:rsidR="00BD0112" w:rsidRPr="006B6525">
        <w:rPr>
          <w:rFonts w:ascii="Times New Roman" w:hAnsi="Times New Roman" w:cs="Times New Roman"/>
          <w:sz w:val="24"/>
          <w:szCs w:val="24"/>
        </w:rPr>
        <w:t xml:space="preserve">Najniższą wartość tego wskaźnika odnotowano natomiast w </w:t>
      </w:r>
      <w:r w:rsidR="00412103" w:rsidRPr="006B6525">
        <w:rPr>
          <w:rFonts w:ascii="Times New Roman" w:hAnsi="Times New Roman" w:cs="Times New Roman"/>
          <w:sz w:val="24"/>
          <w:szCs w:val="24"/>
        </w:rPr>
        <w:t>województwie m</w:t>
      </w:r>
      <w:r w:rsidR="00BD0112" w:rsidRPr="006B6525">
        <w:rPr>
          <w:rFonts w:ascii="Times New Roman" w:hAnsi="Times New Roman" w:cs="Times New Roman"/>
          <w:sz w:val="24"/>
          <w:szCs w:val="24"/>
        </w:rPr>
        <w:t>ałopol</w:t>
      </w:r>
      <w:r w:rsidR="00412103" w:rsidRPr="006B6525">
        <w:rPr>
          <w:rFonts w:ascii="Times New Roman" w:hAnsi="Times New Roman" w:cs="Times New Roman"/>
          <w:sz w:val="24"/>
          <w:szCs w:val="24"/>
        </w:rPr>
        <w:t>skim</w:t>
      </w:r>
      <w:r w:rsidR="00BD0112" w:rsidRPr="006B6525">
        <w:rPr>
          <w:rFonts w:ascii="Times New Roman" w:hAnsi="Times New Roman" w:cs="Times New Roman"/>
          <w:sz w:val="24"/>
          <w:szCs w:val="24"/>
        </w:rPr>
        <w:t xml:space="preserve"> (6,0%). </w:t>
      </w:r>
      <w:r w:rsidR="000A6D42" w:rsidRPr="006B6525">
        <w:rPr>
          <w:rFonts w:ascii="Times New Roman" w:hAnsi="Times New Roman" w:cs="Times New Roman"/>
          <w:sz w:val="24"/>
          <w:szCs w:val="24"/>
        </w:rPr>
        <w:t>Pociąg jako środ</w:t>
      </w:r>
      <w:r w:rsidR="0035178A" w:rsidRPr="006B6525">
        <w:rPr>
          <w:rFonts w:ascii="Times New Roman" w:hAnsi="Times New Roman" w:cs="Times New Roman"/>
          <w:sz w:val="24"/>
          <w:szCs w:val="24"/>
        </w:rPr>
        <w:t>e</w:t>
      </w:r>
      <w:r w:rsidR="000A6D42" w:rsidRPr="006B6525">
        <w:rPr>
          <w:rFonts w:ascii="Times New Roman" w:hAnsi="Times New Roman" w:cs="Times New Roman"/>
          <w:sz w:val="24"/>
          <w:szCs w:val="24"/>
        </w:rPr>
        <w:t xml:space="preserve">k </w:t>
      </w:r>
      <w:r w:rsidR="00257555" w:rsidRPr="006B6525">
        <w:rPr>
          <w:rFonts w:ascii="Times New Roman" w:hAnsi="Times New Roman" w:cs="Times New Roman"/>
          <w:sz w:val="24"/>
          <w:szCs w:val="24"/>
        </w:rPr>
        <w:t>transportu</w:t>
      </w:r>
      <w:r w:rsidR="000A6D42" w:rsidRPr="006B6525">
        <w:rPr>
          <w:rFonts w:ascii="Times New Roman" w:hAnsi="Times New Roman" w:cs="Times New Roman"/>
          <w:sz w:val="24"/>
          <w:szCs w:val="24"/>
        </w:rPr>
        <w:t xml:space="preserve"> cieszył się</w:t>
      </w:r>
      <w:r w:rsidR="00A11E24" w:rsidRPr="006B6525">
        <w:rPr>
          <w:rFonts w:ascii="Times New Roman" w:hAnsi="Times New Roman" w:cs="Times New Roman"/>
          <w:sz w:val="24"/>
          <w:szCs w:val="24"/>
        </w:rPr>
        <w:t xml:space="preserve"> na</w:t>
      </w:r>
      <w:r w:rsidR="000A6D42" w:rsidRPr="006B6525">
        <w:rPr>
          <w:rFonts w:ascii="Times New Roman" w:hAnsi="Times New Roman" w:cs="Times New Roman"/>
          <w:sz w:val="24"/>
          <w:szCs w:val="24"/>
        </w:rPr>
        <w:t>j</w:t>
      </w:r>
      <w:r w:rsidR="00A11E24" w:rsidRPr="006B6525">
        <w:rPr>
          <w:rFonts w:ascii="Times New Roman" w:hAnsi="Times New Roman" w:cs="Times New Roman"/>
          <w:sz w:val="24"/>
          <w:szCs w:val="24"/>
        </w:rPr>
        <w:t>wię</w:t>
      </w:r>
      <w:r w:rsidR="000A6D42" w:rsidRPr="006B6525">
        <w:rPr>
          <w:rFonts w:ascii="Times New Roman" w:hAnsi="Times New Roman" w:cs="Times New Roman"/>
          <w:sz w:val="24"/>
          <w:szCs w:val="24"/>
        </w:rPr>
        <w:t>k</w:t>
      </w:r>
      <w:r w:rsidR="00A11E24" w:rsidRPr="006B6525">
        <w:rPr>
          <w:rFonts w:ascii="Times New Roman" w:hAnsi="Times New Roman" w:cs="Times New Roman"/>
          <w:sz w:val="24"/>
          <w:szCs w:val="24"/>
        </w:rPr>
        <w:t>szy</w:t>
      </w:r>
      <w:r w:rsidR="000A6D42" w:rsidRPr="006B6525">
        <w:rPr>
          <w:rFonts w:ascii="Times New Roman" w:hAnsi="Times New Roman" w:cs="Times New Roman"/>
          <w:sz w:val="24"/>
          <w:szCs w:val="24"/>
        </w:rPr>
        <w:t>m powodze</w:t>
      </w:r>
      <w:r w:rsidR="00412103" w:rsidRPr="006B6525">
        <w:rPr>
          <w:rFonts w:ascii="Times New Roman" w:hAnsi="Times New Roman" w:cs="Times New Roman"/>
          <w:sz w:val="24"/>
          <w:szCs w:val="24"/>
        </w:rPr>
        <w:t>niem w województwie m</w:t>
      </w:r>
      <w:r w:rsidR="002C67D7" w:rsidRPr="006B6525">
        <w:rPr>
          <w:rFonts w:ascii="Times New Roman" w:hAnsi="Times New Roman" w:cs="Times New Roman"/>
          <w:sz w:val="24"/>
          <w:szCs w:val="24"/>
        </w:rPr>
        <w:t>azow</w:t>
      </w:r>
      <w:r w:rsidR="00412103" w:rsidRPr="006B6525">
        <w:rPr>
          <w:rFonts w:ascii="Times New Roman" w:hAnsi="Times New Roman" w:cs="Times New Roman"/>
          <w:sz w:val="24"/>
          <w:szCs w:val="24"/>
        </w:rPr>
        <w:t>ieckim</w:t>
      </w:r>
      <w:r w:rsidR="002C67D7" w:rsidRPr="006B6525">
        <w:rPr>
          <w:rFonts w:ascii="Times New Roman" w:hAnsi="Times New Roman" w:cs="Times New Roman"/>
          <w:sz w:val="24"/>
          <w:szCs w:val="24"/>
        </w:rPr>
        <w:t xml:space="preserve"> (</w:t>
      </w:r>
      <w:r w:rsidR="00BD0112" w:rsidRPr="006B6525">
        <w:rPr>
          <w:rFonts w:ascii="Times New Roman" w:hAnsi="Times New Roman" w:cs="Times New Roman"/>
          <w:sz w:val="24"/>
          <w:szCs w:val="24"/>
        </w:rPr>
        <w:t xml:space="preserve">tym środkiem </w:t>
      </w:r>
      <w:r w:rsidR="00257555" w:rsidRPr="006B6525">
        <w:rPr>
          <w:rFonts w:ascii="Times New Roman" w:hAnsi="Times New Roman" w:cs="Times New Roman"/>
          <w:sz w:val="24"/>
          <w:szCs w:val="24"/>
        </w:rPr>
        <w:t xml:space="preserve">transportu </w:t>
      </w:r>
      <w:r w:rsidR="00BD0112" w:rsidRPr="006B6525">
        <w:rPr>
          <w:rFonts w:ascii="Times New Roman" w:hAnsi="Times New Roman" w:cs="Times New Roman"/>
          <w:sz w:val="24"/>
          <w:szCs w:val="24"/>
        </w:rPr>
        <w:t xml:space="preserve">dojeżdżało do pracy </w:t>
      </w:r>
      <w:r w:rsidR="002C67D7" w:rsidRPr="006B6525">
        <w:rPr>
          <w:rFonts w:ascii="Times New Roman" w:hAnsi="Times New Roman" w:cs="Times New Roman"/>
          <w:sz w:val="24"/>
          <w:szCs w:val="24"/>
        </w:rPr>
        <w:t>4</w:t>
      </w:r>
      <w:r w:rsidR="00A11E24" w:rsidRPr="006B6525">
        <w:rPr>
          <w:rFonts w:ascii="Times New Roman" w:hAnsi="Times New Roman" w:cs="Times New Roman"/>
          <w:sz w:val="24"/>
          <w:szCs w:val="24"/>
        </w:rPr>
        <w:t>,3%</w:t>
      </w:r>
      <w:r w:rsidR="00BD0112" w:rsidRPr="006B6525">
        <w:rPr>
          <w:rFonts w:ascii="Times New Roman" w:hAnsi="Times New Roman" w:cs="Times New Roman"/>
          <w:sz w:val="24"/>
          <w:szCs w:val="24"/>
        </w:rPr>
        <w:t xml:space="preserve"> mieszkańców tego regionu</w:t>
      </w:r>
      <w:r w:rsidR="00A11E24" w:rsidRPr="006B6525">
        <w:rPr>
          <w:rFonts w:ascii="Times New Roman" w:hAnsi="Times New Roman" w:cs="Times New Roman"/>
          <w:sz w:val="24"/>
          <w:szCs w:val="24"/>
        </w:rPr>
        <w:t>), zaś</w:t>
      </w:r>
      <w:r w:rsidR="000A6D42" w:rsidRPr="006B6525">
        <w:rPr>
          <w:rFonts w:ascii="Times New Roman" w:hAnsi="Times New Roman" w:cs="Times New Roman"/>
          <w:sz w:val="24"/>
          <w:szCs w:val="24"/>
        </w:rPr>
        <w:t xml:space="preserve"> najmniejszym –</w:t>
      </w:r>
      <w:r w:rsidR="00412103" w:rsidRPr="006B6525">
        <w:rPr>
          <w:rFonts w:ascii="Times New Roman" w:hAnsi="Times New Roman" w:cs="Times New Roman"/>
          <w:sz w:val="24"/>
          <w:szCs w:val="24"/>
        </w:rPr>
        <w:t xml:space="preserve"> w województwie p</w:t>
      </w:r>
      <w:r w:rsidR="002C67D7" w:rsidRPr="006B6525">
        <w:rPr>
          <w:rFonts w:ascii="Times New Roman" w:hAnsi="Times New Roman" w:cs="Times New Roman"/>
          <w:sz w:val="24"/>
          <w:szCs w:val="24"/>
        </w:rPr>
        <w:t>odla</w:t>
      </w:r>
      <w:r w:rsidR="00412103" w:rsidRPr="006B6525">
        <w:rPr>
          <w:rFonts w:ascii="Times New Roman" w:hAnsi="Times New Roman" w:cs="Times New Roman"/>
          <w:sz w:val="24"/>
          <w:szCs w:val="24"/>
        </w:rPr>
        <w:t>skim</w:t>
      </w:r>
      <w:r w:rsidR="00BD0112" w:rsidRPr="006B6525">
        <w:rPr>
          <w:rFonts w:ascii="Times New Roman" w:hAnsi="Times New Roman" w:cs="Times New Roman"/>
          <w:sz w:val="24"/>
          <w:szCs w:val="24"/>
        </w:rPr>
        <w:t xml:space="preserve"> (</w:t>
      </w:r>
      <w:r w:rsidR="002C67D7" w:rsidRPr="006B6525">
        <w:rPr>
          <w:rFonts w:ascii="Times New Roman" w:hAnsi="Times New Roman" w:cs="Times New Roman"/>
          <w:sz w:val="24"/>
          <w:szCs w:val="24"/>
        </w:rPr>
        <w:t>0,8</w:t>
      </w:r>
      <w:r w:rsidR="000A6D42" w:rsidRPr="006B6525">
        <w:rPr>
          <w:rFonts w:ascii="Times New Roman" w:hAnsi="Times New Roman" w:cs="Times New Roman"/>
          <w:sz w:val="24"/>
          <w:szCs w:val="24"/>
        </w:rPr>
        <w:t xml:space="preserve">%). </w:t>
      </w:r>
      <w:r w:rsidR="009625FE" w:rsidRPr="006B6525">
        <w:rPr>
          <w:rFonts w:ascii="Times New Roman" w:hAnsi="Times New Roman" w:cs="Times New Roman"/>
          <w:sz w:val="24"/>
          <w:szCs w:val="24"/>
        </w:rPr>
        <w:t xml:space="preserve">Udział osób dojeżdżających do pracy innymi środkami </w:t>
      </w:r>
      <w:r w:rsidR="00257555" w:rsidRPr="006B6525">
        <w:rPr>
          <w:rFonts w:ascii="Times New Roman" w:hAnsi="Times New Roman" w:cs="Times New Roman"/>
          <w:sz w:val="24"/>
          <w:szCs w:val="24"/>
        </w:rPr>
        <w:lastRenderedPageBreak/>
        <w:t xml:space="preserve">transportu </w:t>
      </w:r>
      <w:r w:rsidR="009625FE" w:rsidRPr="006B6525">
        <w:rPr>
          <w:rFonts w:ascii="Times New Roman" w:hAnsi="Times New Roman" w:cs="Times New Roman"/>
          <w:sz w:val="24"/>
          <w:szCs w:val="24"/>
        </w:rPr>
        <w:t>był najwyższy w województwie opolskim</w:t>
      </w:r>
      <w:r w:rsidR="0035178A" w:rsidRPr="006B6525">
        <w:rPr>
          <w:rFonts w:ascii="Times New Roman" w:hAnsi="Times New Roman" w:cs="Times New Roman"/>
          <w:sz w:val="24"/>
          <w:szCs w:val="24"/>
        </w:rPr>
        <w:t xml:space="preserve"> </w:t>
      </w:r>
      <w:r w:rsidR="00AD6E9F" w:rsidRPr="006B6525">
        <w:rPr>
          <w:rFonts w:ascii="Times New Roman" w:hAnsi="Times New Roman" w:cs="Times New Roman"/>
          <w:sz w:val="24"/>
          <w:szCs w:val="24"/>
        </w:rPr>
        <w:t>(10,0</w:t>
      </w:r>
      <w:r w:rsidR="0035178A" w:rsidRPr="006B6525">
        <w:rPr>
          <w:rFonts w:ascii="Times New Roman" w:hAnsi="Times New Roman" w:cs="Times New Roman"/>
          <w:sz w:val="24"/>
          <w:szCs w:val="24"/>
        </w:rPr>
        <w:t xml:space="preserve">%) a najmniejszy – </w:t>
      </w:r>
      <w:r w:rsidR="00816A59">
        <w:rPr>
          <w:rFonts w:ascii="Times New Roman" w:hAnsi="Times New Roman" w:cs="Times New Roman"/>
          <w:sz w:val="24"/>
          <w:szCs w:val="24"/>
        </w:rPr>
        <w:t>w </w:t>
      </w:r>
      <w:r w:rsidR="00412103" w:rsidRPr="006B6525">
        <w:rPr>
          <w:rFonts w:ascii="Times New Roman" w:hAnsi="Times New Roman" w:cs="Times New Roman"/>
          <w:sz w:val="24"/>
          <w:szCs w:val="24"/>
        </w:rPr>
        <w:t>województwie m</w:t>
      </w:r>
      <w:r w:rsidR="00BD0112" w:rsidRPr="006B6525">
        <w:rPr>
          <w:rFonts w:ascii="Times New Roman" w:hAnsi="Times New Roman" w:cs="Times New Roman"/>
          <w:sz w:val="24"/>
          <w:szCs w:val="24"/>
        </w:rPr>
        <w:t>ałopol</w:t>
      </w:r>
      <w:r w:rsidR="00412103" w:rsidRPr="006B6525">
        <w:rPr>
          <w:rFonts w:ascii="Times New Roman" w:hAnsi="Times New Roman" w:cs="Times New Roman"/>
          <w:sz w:val="24"/>
          <w:szCs w:val="24"/>
        </w:rPr>
        <w:t>skim</w:t>
      </w:r>
      <w:r w:rsidR="0035178A" w:rsidRPr="006B6525">
        <w:rPr>
          <w:rFonts w:ascii="Times New Roman" w:hAnsi="Times New Roman" w:cs="Times New Roman"/>
          <w:sz w:val="24"/>
          <w:szCs w:val="24"/>
        </w:rPr>
        <w:t xml:space="preserve"> –</w:t>
      </w:r>
      <w:r w:rsidR="00BD0112" w:rsidRPr="006B6525">
        <w:rPr>
          <w:rFonts w:ascii="Times New Roman" w:hAnsi="Times New Roman" w:cs="Times New Roman"/>
          <w:sz w:val="24"/>
          <w:szCs w:val="24"/>
        </w:rPr>
        <w:t xml:space="preserve"> 3,1</w:t>
      </w:r>
      <w:r w:rsidR="0035178A" w:rsidRPr="006B6525">
        <w:rPr>
          <w:rFonts w:ascii="Times New Roman" w:hAnsi="Times New Roman" w:cs="Times New Roman"/>
          <w:sz w:val="24"/>
          <w:szCs w:val="24"/>
        </w:rPr>
        <w:t>%.</w:t>
      </w:r>
    </w:p>
    <w:p w:rsidR="007A2823" w:rsidRPr="00050C62" w:rsidRDefault="00041739" w:rsidP="00816A59">
      <w:pPr>
        <w:pStyle w:val="tekstgl"/>
        <w:spacing w:after="0" w:line="360" w:lineRule="auto"/>
        <w:ind w:firstLine="709"/>
        <w:rPr>
          <w:rFonts w:ascii="Times New Roman" w:hAnsi="Times New Roman" w:cs="Times New Roman"/>
          <w:sz w:val="24"/>
          <w:szCs w:val="24"/>
        </w:rPr>
      </w:pPr>
      <w:r w:rsidRPr="00050C62">
        <w:rPr>
          <w:rFonts w:ascii="Times New Roman" w:hAnsi="Times New Roman" w:cs="Times New Roman"/>
          <w:sz w:val="24"/>
          <w:szCs w:val="24"/>
        </w:rPr>
        <w:t>Interesująca</w:t>
      </w:r>
      <w:r w:rsidR="00ED7A72" w:rsidRPr="00050C62">
        <w:rPr>
          <w:rFonts w:ascii="Times New Roman" w:hAnsi="Times New Roman" w:cs="Times New Roman"/>
          <w:sz w:val="24"/>
          <w:szCs w:val="24"/>
        </w:rPr>
        <w:t xml:space="preserve"> wydaje się być struktura rozpatr</w:t>
      </w:r>
      <w:r w:rsidR="00903C9D" w:rsidRPr="00050C62">
        <w:rPr>
          <w:rFonts w:ascii="Times New Roman" w:hAnsi="Times New Roman" w:cs="Times New Roman"/>
          <w:sz w:val="24"/>
          <w:szCs w:val="24"/>
        </w:rPr>
        <w:t>y</w:t>
      </w:r>
      <w:r w:rsidR="00ED7A72" w:rsidRPr="00050C62">
        <w:rPr>
          <w:rFonts w:ascii="Times New Roman" w:hAnsi="Times New Roman" w:cs="Times New Roman"/>
          <w:sz w:val="24"/>
          <w:szCs w:val="24"/>
        </w:rPr>
        <w:t>wane</w:t>
      </w:r>
      <w:r w:rsidR="00903C9D" w:rsidRPr="00050C62">
        <w:rPr>
          <w:rFonts w:ascii="Times New Roman" w:hAnsi="Times New Roman" w:cs="Times New Roman"/>
          <w:sz w:val="24"/>
          <w:szCs w:val="24"/>
        </w:rPr>
        <w:t>go</w:t>
      </w:r>
      <w:r w:rsidR="00ED7A72" w:rsidRPr="00050C62">
        <w:rPr>
          <w:rFonts w:ascii="Times New Roman" w:hAnsi="Times New Roman" w:cs="Times New Roman"/>
          <w:sz w:val="24"/>
          <w:szCs w:val="24"/>
        </w:rPr>
        <w:t xml:space="preserve"> zja</w:t>
      </w:r>
      <w:r w:rsidR="00903C9D" w:rsidRPr="00050C62">
        <w:rPr>
          <w:rFonts w:ascii="Times New Roman" w:hAnsi="Times New Roman" w:cs="Times New Roman"/>
          <w:sz w:val="24"/>
          <w:szCs w:val="24"/>
        </w:rPr>
        <w:t>wis</w:t>
      </w:r>
      <w:r w:rsidR="00ED7A72" w:rsidRPr="00050C62">
        <w:rPr>
          <w:rFonts w:ascii="Times New Roman" w:hAnsi="Times New Roman" w:cs="Times New Roman"/>
          <w:sz w:val="24"/>
          <w:szCs w:val="24"/>
        </w:rPr>
        <w:t>k</w:t>
      </w:r>
      <w:r w:rsidR="00903C9D" w:rsidRPr="00050C62">
        <w:rPr>
          <w:rFonts w:ascii="Times New Roman" w:hAnsi="Times New Roman" w:cs="Times New Roman"/>
          <w:sz w:val="24"/>
          <w:szCs w:val="24"/>
        </w:rPr>
        <w:t>a</w:t>
      </w:r>
      <w:r w:rsidR="00ED7A72" w:rsidRPr="00050C62">
        <w:rPr>
          <w:rFonts w:ascii="Times New Roman" w:hAnsi="Times New Roman" w:cs="Times New Roman"/>
          <w:sz w:val="24"/>
          <w:szCs w:val="24"/>
        </w:rPr>
        <w:t xml:space="preserve"> społeczno</w:t>
      </w:r>
      <w:r w:rsidR="00A2350A">
        <w:rPr>
          <w:rFonts w:ascii="Times New Roman" w:hAnsi="Times New Roman" w:cs="Times New Roman"/>
          <w:sz w:val="24"/>
          <w:szCs w:val="24"/>
        </w:rPr>
        <w:t>-</w:t>
      </w:r>
      <w:r w:rsidR="00A2350A">
        <w:rPr>
          <w:rFonts w:ascii="Times New Roman" w:hAnsi="Times New Roman" w:cs="Times New Roman"/>
          <w:sz w:val="24"/>
          <w:szCs w:val="24"/>
        </w:rPr>
        <w:br/>
        <w:t>-</w:t>
      </w:r>
      <w:r w:rsidR="00ED7A72" w:rsidRPr="00050C62">
        <w:rPr>
          <w:rFonts w:ascii="Times New Roman" w:hAnsi="Times New Roman" w:cs="Times New Roman"/>
          <w:sz w:val="24"/>
          <w:szCs w:val="24"/>
        </w:rPr>
        <w:t>ekonomicznego według płci</w:t>
      </w:r>
      <w:r w:rsidR="0073536F" w:rsidRPr="00050C62">
        <w:rPr>
          <w:rFonts w:ascii="Times New Roman" w:hAnsi="Times New Roman" w:cs="Times New Roman"/>
          <w:sz w:val="24"/>
          <w:szCs w:val="24"/>
        </w:rPr>
        <w:t>.</w:t>
      </w:r>
      <w:r w:rsidR="00ED7A72" w:rsidRPr="00050C62">
        <w:rPr>
          <w:rFonts w:ascii="Times New Roman" w:hAnsi="Times New Roman" w:cs="Times New Roman"/>
          <w:sz w:val="24"/>
          <w:szCs w:val="24"/>
        </w:rPr>
        <w:t xml:space="preserve"> </w:t>
      </w:r>
      <w:r w:rsidR="004D14E1" w:rsidRPr="00050C62">
        <w:rPr>
          <w:rFonts w:ascii="Times New Roman" w:hAnsi="Times New Roman" w:cs="Times New Roman"/>
          <w:sz w:val="24"/>
          <w:szCs w:val="24"/>
        </w:rPr>
        <w:t xml:space="preserve">Kształtowanie się </w:t>
      </w:r>
      <w:r w:rsidR="00ED7A72" w:rsidRPr="00050C62">
        <w:rPr>
          <w:rFonts w:ascii="Times New Roman" w:hAnsi="Times New Roman" w:cs="Times New Roman"/>
          <w:sz w:val="24"/>
          <w:szCs w:val="24"/>
        </w:rPr>
        <w:t>liczby kobiet na 100 mężczyzn korz</w:t>
      </w:r>
      <w:r w:rsidR="00903C9D" w:rsidRPr="00050C62">
        <w:rPr>
          <w:rFonts w:ascii="Times New Roman" w:hAnsi="Times New Roman" w:cs="Times New Roman"/>
          <w:sz w:val="24"/>
          <w:szCs w:val="24"/>
        </w:rPr>
        <w:t>y</w:t>
      </w:r>
      <w:r w:rsidR="00ED7A72" w:rsidRPr="00050C62">
        <w:rPr>
          <w:rFonts w:ascii="Times New Roman" w:hAnsi="Times New Roman" w:cs="Times New Roman"/>
          <w:sz w:val="24"/>
          <w:szCs w:val="24"/>
        </w:rPr>
        <w:t>staj</w:t>
      </w:r>
      <w:r w:rsidR="00903C9D" w:rsidRPr="00050C62">
        <w:rPr>
          <w:rFonts w:ascii="Times New Roman" w:hAnsi="Times New Roman" w:cs="Times New Roman"/>
          <w:sz w:val="24"/>
          <w:szCs w:val="24"/>
        </w:rPr>
        <w:t>ą</w:t>
      </w:r>
      <w:r w:rsidR="00ED7A72" w:rsidRPr="00050C62">
        <w:rPr>
          <w:rFonts w:ascii="Times New Roman" w:hAnsi="Times New Roman" w:cs="Times New Roman"/>
          <w:sz w:val="24"/>
          <w:szCs w:val="24"/>
        </w:rPr>
        <w:t xml:space="preserve">cych podczas dojazdów do </w:t>
      </w:r>
      <w:r w:rsidR="00903C9D" w:rsidRPr="00050C62">
        <w:rPr>
          <w:rFonts w:ascii="Times New Roman" w:hAnsi="Times New Roman" w:cs="Times New Roman"/>
          <w:sz w:val="24"/>
          <w:szCs w:val="24"/>
        </w:rPr>
        <w:t>p</w:t>
      </w:r>
      <w:r w:rsidR="00ED7A72" w:rsidRPr="00050C62">
        <w:rPr>
          <w:rFonts w:ascii="Times New Roman" w:hAnsi="Times New Roman" w:cs="Times New Roman"/>
          <w:sz w:val="24"/>
          <w:szCs w:val="24"/>
        </w:rPr>
        <w:t>r</w:t>
      </w:r>
      <w:r w:rsidR="00903C9D" w:rsidRPr="00050C62">
        <w:rPr>
          <w:rFonts w:ascii="Times New Roman" w:hAnsi="Times New Roman" w:cs="Times New Roman"/>
          <w:sz w:val="24"/>
          <w:szCs w:val="24"/>
        </w:rPr>
        <w:t>a</w:t>
      </w:r>
      <w:r w:rsidR="00ED7A72" w:rsidRPr="00050C62">
        <w:rPr>
          <w:rFonts w:ascii="Times New Roman" w:hAnsi="Times New Roman" w:cs="Times New Roman"/>
          <w:sz w:val="24"/>
          <w:szCs w:val="24"/>
        </w:rPr>
        <w:t>cy z ró</w:t>
      </w:r>
      <w:r w:rsidR="00903C9D" w:rsidRPr="00050C62">
        <w:rPr>
          <w:rFonts w:ascii="Times New Roman" w:hAnsi="Times New Roman" w:cs="Times New Roman"/>
          <w:sz w:val="24"/>
          <w:szCs w:val="24"/>
        </w:rPr>
        <w:t>ż</w:t>
      </w:r>
      <w:r w:rsidR="00ED7A72" w:rsidRPr="00050C62">
        <w:rPr>
          <w:rFonts w:ascii="Times New Roman" w:hAnsi="Times New Roman" w:cs="Times New Roman"/>
          <w:sz w:val="24"/>
          <w:szCs w:val="24"/>
        </w:rPr>
        <w:t>ny</w:t>
      </w:r>
      <w:r w:rsidR="00903C9D" w:rsidRPr="00050C62">
        <w:rPr>
          <w:rFonts w:ascii="Times New Roman" w:hAnsi="Times New Roman" w:cs="Times New Roman"/>
          <w:sz w:val="24"/>
          <w:szCs w:val="24"/>
        </w:rPr>
        <w:t>c</w:t>
      </w:r>
      <w:r w:rsidR="00ED7A72" w:rsidRPr="00050C62">
        <w:rPr>
          <w:rFonts w:ascii="Times New Roman" w:hAnsi="Times New Roman" w:cs="Times New Roman"/>
          <w:sz w:val="24"/>
          <w:szCs w:val="24"/>
        </w:rPr>
        <w:t>h środków</w:t>
      </w:r>
      <w:r w:rsidR="00903C9D" w:rsidRPr="00050C62">
        <w:rPr>
          <w:rFonts w:ascii="Times New Roman" w:hAnsi="Times New Roman" w:cs="Times New Roman"/>
          <w:sz w:val="24"/>
          <w:szCs w:val="24"/>
        </w:rPr>
        <w:t xml:space="preserve"> </w:t>
      </w:r>
      <w:r w:rsidR="00257555" w:rsidRPr="00050C62">
        <w:rPr>
          <w:rFonts w:ascii="Times New Roman" w:hAnsi="Times New Roman" w:cs="Times New Roman"/>
          <w:sz w:val="24"/>
          <w:szCs w:val="24"/>
        </w:rPr>
        <w:t xml:space="preserve">transportu </w:t>
      </w:r>
      <w:r w:rsidR="00826850" w:rsidRPr="00050C62">
        <w:rPr>
          <w:rFonts w:ascii="Times New Roman" w:hAnsi="Times New Roman" w:cs="Times New Roman"/>
          <w:sz w:val="24"/>
          <w:szCs w:val="24"/>
        </w:rPr>
        <w:t>ukazuje</w:t>
      </w:r>
      <w:r w:rsidR="00BB5091">
        <w:rPr>
          <w:rFonts w:ascii="Times New Roman" w:hAnsi="Times New Roman" w:cs="Times New Roman"/>
          <w:sz w:val="24"/>
          <w:szCs w:val="24"/>
        </w:rPr>
        <w:t xml:space="preserve"> </w:t>
      </w:r>
      <w:r w:rsidR="00826850" w:rsidRPr="00050C62">
        <w:rPr>
          <w:rFonts w:ascii="Times New Roman" w:hAnsi="Times New Roman" w:cs="Times New Roman"/>
          <w:sz w:val="24"/>
          <w:szCs w:val="24"/>
        </w:rPr>
        <w:t>wykres</w:t>
      </w:r>
      <w:r w:rsidR="00871E11">
        <w:rPr>
          <w:rFonts w:ascii="Times New Roman" w:hAnsi="Times New Roman" w:cs="Times New Roman"/>
          <w:sz w:val="24"/>
          <w:szCs w:val="24"/>
        </w:rPr>
        <w:t xml:space="preserve"> 6.8</w:t>
      </w:r>
      <w:r w:rsidR="00ED7A72" w:rsidRPr="00050C62">
        <w:rPr>
          <w:rFonts w:ascii="Times New Roman" w:hAnsi="Times New Roman" w:cs="Times New Roman"/>
          <w:sz w:val="24"/>
          <w:szCs w:val="24"/>
        </w:rPr>
        <w:t>.</w:t>
      </w:r>
    </w:p>
    <w:p w:rsidR="00ED7A72" w:rsidRPr="006B6525" w:rsidRDefault="00ED7A72" w:rsidP="000909AB">
      <w:pPr>
        <w:keepNext/>
        <w:spacing w:after="60"/>
        <w:jc w:val="both"/>
        <w:rPr>
          <w:rFonts w:ascii="Times New Roman" w:hAnsi="Times New Roman" w:cs="Times New Roman"/>
          <w:b/>
          <w:sz w:val="20"/>
          <w:szCs w:val="20"/>
        </w:rPr>
      </w:pPr>
      <w:r w:rsidRPr="006B6525">
        <w:rPr>
          <w:rFonts w:ascii="Times New Roman" w:hAnsi="Times New Roman" w:cs="Times New Roman"/>
          <w:b/>
          <w:sz w:val="20"/>
          <w:szCs w:val="20"/>
        </w:rPr>
        <w:t xml:space="preserve">Wykres </w:t>
      </w:r>
      <w:r w:rsidR="00D55B40">
        <w:rPr>
          <w:rFonts w:ascii="Times New Roman" w:hAnsi="Times New Roman" w:cs="Times New Roman"/>
          <w:b/>
          <w:sz w:val="20"/>
          <w:szCs w:val="20"/>
        </w:rPr>
        <w:t>6</w:t>
      </w:r>
      <w:r w:rsidR="0029666D">
        <w:rPr>
          <w:rFonts w:ascii="Times New Roman" w:hAnsi="Times New Roman" w:cs="Times New Roman"/>
          <w:b/>
          <w:sz w:val="20"/>
          <w:szCs w:val="20"/>
        </w:rPr>
        <w:t>.8</w:t>
      </w:r>
      <w:r w:rsidRPr="006B6525">
        <w:rPr>
          <w:rFonts w:ascii="Times New Roman" w:hAnsi="Times New Roman" w:cs="Times New Roman"/>
          <w:b/>
          <w:sz w:val="20"/>
          <w:szCs w:val="20"/>
        </w:rPr>
        <w:t xml:space="preserve">. Liczba kobiet na 100 mężczyzn według środka </w:t>
      </w:r>
      <w:r w:rsidR="00257555" w:rsidRPr="006B6525">
        <w:rPr>
          <w:rFonts w:ascii="Times New Roman" w:hAnsi="Times New Roman" w:cs="Times New Roman"/>
          <w:b/>
          <w:sz w:val="20"/>
          <w:szCs w:val="20"/>
        </w:rPr>
        <w:t xml:space="preserve">transportu </w:t>
      </w:r>
      <w:r w:rsidR="0003508B">
        <w:rPr>
          <w:rFonts w:ascii="Times New Roman" w:hAnsi="Times New Roman" w:cs="Times New Roman"/>
          <w:b/>
          <w:sz w:val="20"/>
          <w:szCs w:val="20"/>
        </w:rPr>
        <w:t>dojazdu do pracy</w:t>
      </w:r>
    </w:p>
    <w:p w:rsidR="00033CCC" w:rsidRPr="0024503A" w:rsidRDefault="009601FC" w:rsidP="00ED4CA3">
      <w:pPr>
        <w:pStyle w:val="Akapitzlist"/>
        <w:keepNext/>
        <w:spacing w:after="100"/>
        <w:ind w:left="0"/>
        <w:contextualSpacing w:val="0"/>
        <w:jc w:val="both"/>
        <w:rPr>
          <w:rFonts w:asciiTheme="majorHAnsi" w:hAnsiTheme="majorHAnsi"/>
        </w:rPr>
      </w:pPr>
      <w:r w:rsidRPr="00D41159">
        <w:rPr>
          <w:noProof/>
          <w:lang w:eastAsia="pl-PL"/>
        </w:rPr>
        <w:drawing>
          <wp:inline distT="0" distB="0" distL="0" distR="0">
            <wp:extent cx="5486400" cy="3076575"/>
            <wp:effectExtent l="0" t="0" r="0" b="0"/>
            <wp:docPr id="4" name="Wykres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903C9D" w:rsidRPr="006D3E27" w:rsidRDefault="005A15F4" w:rsidP="006D3E27">
      <w:pPr>
        <w:pStyle w:val="tekstgl"/>
        <w:spacing w:after="0" w:line="360" w:lineRule="auto"/>
        <w:ind w:firstLine="709"/>
        <w:rPr>
          <w:rFonts w:ascii="Times New Roman" w:hAnsi="Times New Roman" w:cs="Times New Roman"/>
          <w:sz w:val="24"/>
          <w:szCs w:val="24"/>
        </w:rPr>
      </w:pPr>
      <w:r w:rsidRPr="006D3E27">
        <w:rPr>
          <w:rFonts w:ascii="Times New Roman" w:hAnsi="Times New Roman" w:cs="Times New Roman"/>
          <w:sz w:val="24"/>
          <w:szCs w:val="24"/>
        </w:rPr>
        <w:t>Można zatem zauważyć</w:t>
      </w:r>
      <w:r w:rsidR="00903C9D" w:rsidRPr="006D3E27">
        <w:rPr>
          <w:rFonts w:ascii="Times New Roman" w:hAnsi="Times New Roman" w:cs="Times New Roman"/>
          <w:sz w:val="24"/>
          <w:szCs w:val="24"/>
        </w:rPr>
        <w:t>, że kobiety zdecydowanie cz</w:t>
      </w:r>
      <w:r w:rsidR="00F71887" w:rsidRPr="006D3E27">
        <w:rPr>
          <w:rFonts w:ascii="Times New Roman" w:hAnsi="Times New Roman" w:cs="Times New Roman"/>
          <w:sz w:val="24"/>
          <w:szCs w:val="24"/>
        </w:rPr>
        <w:t>ęś</w:t>
      </w:r>
      <w:r w:rsidR="00903C9D" w:rsidRPr="006D3E27">
        <w:rPr>
          <w:rFonts w:ascii="Times New Roman" w:hAnsi="Times New Roman" w:cs="Times New Roman"/>
          <w:sz w:val="24"/>
          <w:szCs w:val="24"/>
        </w:rPr>
        <w:t>c</w:t>
      </w:r>
      <w:r w:rsidR="00F71887" w:rsidRPr="006D3E27">
        <w:rPr>
          <w:rFonts w:ascii="Times New Roman" w:hAnsi="Times New Roman" w:cs="Times New Roman"/>
          <w:sz w:val="24"/>
          <w:szCs w:val="24"/>
        </w:rPr>
        <w:t>i</w:t>
      </w:r>
      <w:r w:rsidR="00903C9D" w:rsidRPr="006D3E27">
        <w:rPr>
          <w:rFonts w:ascii="Times New Roman" w:hAnsi="Times New Roman" w:cs="Times New Roman"/>
          <w:sz w:val="24"/>
          <w:szCs w:val="24"/>
        </w:rPr>
        <w:t xml:space="preserve">ej od </w:t>
      </w:r>
      <w:r w:rsidR="00E70CF0" w:rsidRPr="006D3E27">
        <w:rPr>
          <w:rFonts w:ascii="Times New Roman" w:hAnsi="Times New Roman" w:cs="Times New Roman"/>
          <w:sz w:val="24"/>
          <w:szCs w:val="24"/>
        </w:rPr>
        <w:t>męż</w:t>
      </w:r>
      <w:r w:rsidR="00903C9D" w:rsidRPr="006D3E27">
        <w:rPr>
          <w:rFonts w:ascii="Times New Roman" w:hAnsi="Times New Roman" w:cs="Times New Roman"/>
          <w:sz w:val="24"/>
          <w:szCs w:val="24"/>
        </w:rPr>
        <w:t>czy</w:t>
      </w:r>
      <w:r w:rsidR="00E70CF0" w:rsidRPr="006D3E27">
        <w:rPr>
          <w:rFonts w:ascii="Times New Roman" w:hAnsi="Times New Roman" w:cs="Times New Roman"/>
          <w:sz w:val="24"/>
          <w:szCs w:val="24"/>
        </w:rPr>
        <w:t>z</w:t>
      </w:r>
      <w:r w:rsidR="00903C9D" w:rsidRPr="006D3E27">
        <w:rPr>
          <w:rFonts w:ascii="Times New Roman" w:hAnsi="Times New Roman" w:cs="Times New Roman"/>
          <w:sz w:val="24"/>
          <w:szCs w:val="24"/>
        </w:rPr>
        <w:t>n wybierają komu</w:t>
      </w:r>
      <w:r w:rsidR="00F71887" w:rsidRPr="006D3E27">
        <w:rPr>
          <w:rFonts w:ascii="Times New Roman" w:hAnsi="Times New Roman" w:cs="Times New Roman"/>
          <w:sz w:val="24"/>
          <w:szCs w:val="24"/>
        </w:rPr>
        <w:t>ni</w:t>
      </w:r>
      <w:r w:rsidR="00903C9D" w:rsidRPr="006D3E27">
        <w:rPr>
          <w:rFonts w:ascii="Times New Roman" w:hAnsi="Times New Roman" w:cs="Times New Roman"/>
          <w:sz w:val="24"/>
          <w:szCs w:val="24"/>
        </w:rPr>
        <w:t>kac</w:t>
      </w:r>
      <w:r w:rsidR="00F71887" w:rsidRPr="006D3E27">
        <w:rPr>
          <w:rFonts w:ascii="Times New Roman" w:hAnsi="Times New Roman" w:cs="Times New Roman"/>
          <w:sz w:val="24"/>
          <w:szCs w:val="24"/>
        </w:rPr>
        <w:t>j</w:t>
      </w:r>
      <w:r w:rsidR="00903C9D" w:rsidRPr="006D3E27">
        <w:rPr>
          <w:rFonts w:ascii="Times New Roman" w:hAnsi="Times New Roman" w:cs="Times New Roman"/>
          <w:sz w:val="24"/>
          <w:szCs w:val="24"/>
        </w:rPr>
        <w:t>ę pub</w:t>
      </w:r>
      <w:r w:rsidR="00F71887" w:rsidRPr="006D3E27">
        <w:rPr>
          <w:rFonts w:ascii="Times New Roman" w:hAnsi="Times New Roman" w:cs="Times New Roman"/>
          <w:sz w:val="24"/>
          <w:szCs w:val="24"/>
        </w:rPr>
        <w:t>l</w:t>
      </w:r>
      <w:r w:rsidR="00903C9D" w:rsidRPr="006D3E27">
        <w:rPr>
          <w:rFonts w:ascii="Times New Roman" w:hAnsi="Times New Roman" w:cs="Times New Roman"/>
          <w:sz w:val="24"/>
          <w:szCs w:val="24"/>
        </w:rPr>
        <w:t>iczn</w:t>
      </w:r>
      <w:r w:rsidR="00F71887" w:rsidRPr="006D3E27">
        <w:rPr>
          <w:rFonts w:ascii="Times New Roman" w:hAnsi="Times New Roman" w:cs="Times New Roman"/>
          <w:sz w:val="24"/>
          <w:szCs w:val="24"/>
        </w:rPr>
        <w:t>ą</w:t>
      </w:r>
      <w:r w:rsidR="00903C9D" w:rsidRPr="006D3E27">
        <w:rPr>
          <w:rFonts w:ascii="Times New Roman" w:hAnsi="Times New Roman" w:cs="Times New Roman"/>
          <w:sz w:val="24"/>
          <w:szCs w:val="24"/>
        </w:rPr>
        <w:t xml:space="preserve"> (w</w:t>
      </w:r>
      <w:r w:rsidR="00F71887" w:rsidRPr="006D3E27">
        <w:rPr>
          <w:rFonts w:ascii="Times New Roman" w:hAnsi="Times New Roman" w:cs="Times New Roman"/>
          <w:sz w:val="24"/>
          <w:szCs w:val="24"/>
        </w:rPr>
        <w:t xml:space="preserve"> </w:t>
      </w:r>
      <w:r w:rsidR="00903C9D" w:rsidRPr="006D3E27">
        <w:rPr>
          <w:rFonts w:ascii="Times New Roman" w:hAnsi="Times New Roman" w:cs="Times New Roman"/>
          <w:sz w:val="24"/>
          <w:szCs w:val="24"/>
        </w:rPr>
        <w:t>ty</w:t>
      </w:r>
      <w:r w:rsidR="00F71887" w:rsidRPr="006D3E27">
        <w:rPr>
          <w:rFonts w:ascii="Times New Roman" w:hAnsi="Times New Roman" w:cs="Times New Roman"/>
          <w:sz w:val="24"/>
          <w:szCs w:val="24"/>
        </w:rPr>
        <w:t>m</w:t>
      </w:r>
      <w:r w:rsidR="00903C9D" w:rsidRPr="006D3E27">
        <w:rPr>
          <w:rFonts w:ascii="Times New Roman" w:hAnsi="Times New Roman" w:cs="Times New Roman"/>
          <w:sz w:val="24"/>
          <w:szCs w:val="24"/>
        </w:rPr>
        <w:t xml:space="preserve"> miejską)</w:t>
      </w:r>
      <w:r w:rsidR="00F71887" w:rsidRPr="006D3E27">
        <w:rPr>
          <w:rFonts w:ascii="Times New Roman" w:hAnsi="Times New Roman" w:cs="Times New Roman"/>
          <w:sz w:val="24"/>
          <w:szCs w:val="24"/>
        </w:rPr>
        <w:t xml:space="preserve"> oraz są pasażerami w samochodzie osobowym podczas dojeżdżania do pracy. </w:t>
      </w:r>
      <w:r w:rsidR="00E70CF0" w:rsidRPr="006D3E27">
        <w:rPr>
          <w:rFonts w:ascii="Times New Roman" w:hAnsi="Times New Roman" w:cs="Times New Roman"/>
          <w:sz w:val="24"/>
          <w:szCs w:val="24"/>
        </w:rPr>
        <w:t>Wzgl</w:t>
      </w:r>
      <w:r w:rsidR="00824DAC" w:rsidRPr="006D3E27">
        <w:rPr>
          <w:rFonts w:ascii="Times New Roman" w:hAnsi="Times New Roman" w:cs="Times New Roman"/>
          <w:sz w:val="24"/>
          <w:szCs w:val="24"/>
        </w:rPr>
        <w:t>ę</w:t>
      </w:r>
      <w:r w:rsidR="00E70CF0" w:rsidRPr="006D3E27">
        <w:rPr>
          <w:rFonts w:ascii="Times New Roman" w:hAnsi="Times New Roman" w:cs="Times New Roman"/>
          <w:sz w:val="24"/>
          <w:szCs w:val="24"/>
        </w:rPr>
        <w:t>dna równ</w:t>
      </w:r>
      <w:r w:rsidR="00824DAC" w:rsidRPr="006D3E27">
        <w:rPr>
          <w:rFonts w:ascii="Times New Roman" w:hAnsi="Times New Roman" w:cs="Times New Roman"/>
          <w:sz w:val="24"/>
          <w:szCs w:val="24"/>
        </w:rPr>
        <w:t>owa</w:t>
      </w:r>
      <w:r w:rsidR="00E70CF0" w:rsidRPr="006D3E27">
        <w:rPr>
          <w:rFonts w:ascii="Times New Roman" w:hAnsi="Times New Roman" w:cs="Times New Roman"/>
          <w:sz w:val="24"/>
          <w:szCs w:val="24"/>
        </w:rPr>
        <w:t>ga panuje w przyp</w:t>
      </w:r>
      <w:r w:rsidR="00824DAC" w:rsidRPr="006D3E27">
        <w:rPr>
          <w:rFonts w:ascii="Times New Roman" w:hAnsi="Times New Roman" w:cs="Times New Roman"/>
          <w:sz w:val="24"/>
          <w:szCs w:val="24"/>
        </w:rPr>
        <w:t>a</w:t>
      </w:r>
      <w:r w:rsidR="00E70CF0" w:rsidRPr="006D3E27">
        <w:rPr>
          <w:rFonts w:ascii="Times New Roman" w:hAnsi="Times New Roman" w:cs="Times New Roman"/>
          <w:sz w:val="24"/>
          <w:szCs w:val="24"/>
        </w:rPr>
        <w:t>dku kor</w:t>
      </w:r>
      <w:r w:rsidR="00824DAC" w:rsidRPr="006D3E27">
        <w:rPr>
          <w:rFonts w:ascii="Times New Roman" w:hAnsi="Times New Roman" w:cs="Times New Roman"/>
          <w:sz w:val="24"/>
          <w:szCs w:val="24"/>
        </w:rPr>
        <w:t>zys</w:t>
      </w:r>
      <w:r w:rsidR="00E70CF0" w:rsidRPr="006D3E27">
        <w:rPr>
          <w:rFonts w:ascii="Times New Roman" w:hAnsi="Times New Roman" w:cs="Times New Roman"/>
          <w:sz w:val="24"/>
          <w:szCs w:val="24"/>
        </w:rPr>
        <w:t>tania z usług prywa</w:t>
      </w:r>
      <w:r w:rsidR="00824DAC" w:rsidRPr="006D3E27">
        <w:rPr>
          <w:rFonts w:ascii="Times New Roman" w:hAnsi="Times New Roman" w:cs="Times New Roman"/>
          <w:sz w:val="24"/>
          <w:szCs w:val="24"/>
        </w:rPr>
        <w:t>t</w:t>
      </w:r>
      <w:r w:rsidR="00E70CF0" w:rsidRPr="006D3E27">
        <w:rPr>
          <w:rFonts w:ascii="Times New Roman" w:hAnsi="Times New Roman" w:cs="Times New Roman"/>
          <w:sz w:val="24"/>
          <w:szCs w:val="24"/>
        </w:rPr>
        <w:t xml:space="preserve">nych przewoźników. </w:t>
      </w:r>
      <w:r w:rsidR="00F71887" w:rsidRPr="006D3E27">
        <w:rPr>
          <w:rFonts w:ascii="Times New Roman" w:hAnsi="Times New Roman" w:cs="Times New Roman"/>
          <w:sz w:val="24"/>
          <w:szCs w:val="24"/>
        </w:rPr>
        <w:t xml:space="preserve">Natomiast mężczyźni znacznie częściej od </w:t>
      </w:r>
      <w:r w:rsidR="00FA70D4" w:rsidRPr="006D3E27">
        <w:rPr>
          <w:rFonts w:ascii="Times New Roman" w:hAnsi="Times New Roman" w:cs="Times New Roman"/>
          <w:sz w:val="24"/>
          <w:szCs w:val="24"/>
        </w:rPr>
        <w:t>kobiet</w:t>
      </w:r>
      <w:r w:rsidR="00F71887" w:rsidRPr="006D3E27">
        <w:rPr>
          <w:rFonts w:ascii="Times New Roman" w:hAnsi="Times New Roman" w:cs="Times New Roman"/>
          <w:sz w:val="24"/>
          <w:szCs w:val="24"/>
        </w:rPr>
        <w:t xml:space="preserve"> dojeżdżają jako kierowcy samochodów </w:t>
      </w:r>
      <w:r w:rsidR="00826850" w:rsidRPr="006D3E27">
        <w:rPr>
          <w:rFonts w:ascii="Times New Roman" w:hAnsi="Times New Roman" w:cs="Times New Roman"/>
          <w:sz w:val="24"/>
          <w:szCs w:val="24"/>
        </w:rPr>
        <w:t xml:space="preserve">bądź też </w:t>
      </w:r>
      <w:r w:rsidR="00E70CF0" w:rsidRPr="006D3E27">
        <w:rPr>
          <w:rFonts w:ascii="Times New Roman" w:hAnsi="Times New Roman" w:cs="Times New Roman"/>
          <w:sz w:val="24"/>
          <w:szCs w:val="24"/>
        </w:rPr>
        <w:t xml:space="preserve">pociągiem lub </w:t>
      </w:r>
      <w:r w:rsidR="00F71887" w:rsidRPr="006D3E27">
        <w:rPr>
          <w:rFonts w:ascii="Times New Roman" w:hAnsi="Times New Roman" w:cs="Times New Roman"/>
          <w:sz w:val="24"/>
          <w:szCs w:val="24"/>
        </w:rPr>
        <w:t xml:space="preserve">innymi środkami </w:t>
      </w:r>
      <w:r w:rsidR="00257555" w:rsidRPr="006D3E27">
        <w:rPr>
          <w:rFonts w:ascii="Times New Roman" w:hAnsi="Times New Roman" w:cs="Times New Roman"/>
          <w:sz w:val="24"/>
          <w:szCs w:val="24"/>
        </w:rPr>
        <w:t>transportu</w:t>
      </w:r>
      <w:r w:rsidR="00F71887" w:rsidRPr="006D3E27">
        <w:rPr>
          <w:rFonts w:ascii="Times New Roman" w:hAnsi="Times New Roman" w:cs="Times New Roman"/>
          <w:sz w:val="24"/>
          <w:szCs w:val="24"/>
        </w:rPr>
        <w:t>.</w:t>
      </w:r>
      <w:r w:rsidR="00903C9D" w:rsidRPr="006D3E27">
        <w:rPr>
          <w:rFonts w:ascii="Times New Roman" w:hAnsi="Times New Roman" w:cs="Times New Roman"/>
          <w:sz w:val="24"/>
          <w:szCs w:val="24"/>
        </w:rPr>
        <w:t xml:space="preserve"> </w:t>
      </w:r>
      <w:r w:rsidR="00E70CF0" w:rsidRPr="006D3E27">
        <w:rPr>
          <w:rFonts w:ascii="Times New Roman" w:hAnsi="Times New Roman" w:cs="Times New Roman"/>
          <w:sz w:val="24"/>
          <w:szCs w:val="24"/>
        </w:rPr>
        <w:t>Tendencje te znajdują po</w:t>
      </w:r>
      <w:r w:rsidR="00331B06" w:rsidRPr="006D3E27">
        <w:rPr>
          <w:rFonts w:ascii="Times New Roman" w:hAnsi="Times New Roman" w:cs="Times New Roman"/>
          <w:sz w:val="24"/>
          <w:szCs w:val="24"/>
        </w:rPr>
        <w:t>t</w:t>
      </w:r>
      <w:r w:rsidR="00E70CF0" w:rsidRPr="006D3E27">
        <w:rPr>
          <w:rFonts w:ascii="Times New Roman" w:hAnsi="Times New Roman" w:cs="Times New Roman"/>
          <w:sz w:val="24"/>
          <w:szCs w:val="24"/>
        </w:rPr>
        <w:t>wie</w:t>
      </w:r>
      <w:r w:rsidR="00331B06" w:rsidRPr="006D3E27">
        <w:rPr>
          <w:rFonts w:ascii="Times New Roman" w:hAnsi="Times New Roman" w:cs="Times New Roman"/>
          <w:sz w:val="24"/>
          <w:szCs w:val="24"/>
        </w:rPr>
        <w:t>rdz</w:t>
      </w:r>
      <w:r w:rsidR="00E70CF0" w:rsidRPr="006D3E27">
        <w:rPr>
          <w:rFonts w:ascii="Times New Roman" w:hAnsi="Times New Roman" w:cs="Times New Roman"/>
          <w:sz w:val="24"/>
          <w:szCs w:val="24"/>
        </w:rPr>
        <w:t>en</w:t>
      </w:r>
      <w:r w:rsidR="00331B06" w:rsidRPr="006D3E27">
        <w:rPr>
          <w:rFonts w:ascii="Times New Roman" w:hAnsi="Times New Roman" w:cs="Times New Roman"/>
          <w:sz w:val="24"/>
          <w:szCs w:val="24"/>
        </w:rPr>
        <w:t>ie we wszystkich województwach</w:t>
      </w:r>
      <w:r w:rsidR="00E70CF0" w:rsidRPr="006D3E27">
        <w:rPr>
          <w:rFonts w:ascii="Times New Roman" w:hAnsi="Times New Roman" w:cs="Times New Roman"/>
          <w:sz w:val="24"/>
          <w:szCs w:val="24"/>
        </w:rPr>
        <w:t>. Pewne różnice w zakresie tego wskaźnika można zaobserwować jedynie w przy</w:t>
      </w:r>
      <w:r w:rsidR="00824DAC" w:rsidRPr="006D3E27">
        <w:rPr>
          <w:rFonts w:ascii="Times New Roman" w:hAnsi="Times New Roman" w:cs="Times New Roman"/>
          <w:sz w:val="24"/>
          <w:szCs w:val="24"/>
        </w:rPr>
        <w:t>p</w:t>
      </w:r>
      <w:r w:rsidR="00E70CF0" w:rsidRPr="006D3E27">
        <w:rPr>
          <w:rFonts w:ascii="Times New Roman" w:hAnsi="Times New Roman" w:cs="Times New Roman"/>
          <w:sz w:val="24"/>
          <w:szCs w:val="24"/>
        </w:rPr>
        <w:t>adku pr</w:t>
      </w:r>
      <w:r w:rsidR="00824DAC" w:rsidRPr="006D3E27">
        <w:rPr>
          <w:rFonts w:ascii="Times New Roman" w:hAnsi="Times New Roman" w:cs="Times New Roman"/>
          <w:sz w:val="24"/>
          <w:szCs w:val="24"/>
        </w:rPr>
        <w:t>ywat</w:t>
      </w:r>
      <w:r w:rsidR="00E70CF0" w:rsidRPr="006D3E27">
        <w:rPr>
          <w:rFonts w:ascii="Times New Roman" w:hAnsi="Times New Roman" w:cs="Times New Roman"/>
          <w:sz w:val="24"/>
          <w:szCs w:val="24"/>
        </w:rPr>
        <w:t>nych przewo</w:t>
      </w:r>
      <w:r w:rsidR="00824DAC" w:rsidRPr="006D3E27">
        <w:rPr>
          <w:rFonts w:ascii="Times New Roman" w:hAnsi="Times New Roman" w:cs="Times New Roman"/>
          <w:sz w:val="24"/>
          <w:szCs w:val="24"/>
        </w:rPr>
        <w:t>ź</w:t>
      </w:r>
      <w:r w:rsidR="00FA70D4" w:rsidRPr="006D3E27">
        <w:rPr>
          <w:rFonts w:ascii="Times New Roman" w:hAnsi="Times New Roman" w:cs="Times New Roman"/>
          <w:sz w:val="24"/>
          <w:szCs w:val="24"/>
        </w:rPr>
        <w:t>ników (tutaj mężczyźni</w:t>
      </w:r>
      <w:r w:rsidR="00E70CF0" w:rsidRPr="006D3E27">
        <w:rPr>
          <w:rFonts w:ascii="Times New Roman" w:hAnsi="Times New Roman" w:cs="Times New Roman"/>
          <w:sz w:val="24"/>
          <w:szCs w:val="24"/>
        </w:rPr>
        <w:t xml:space="preserve"> s</w:t>
      </w:r>
      <w:r w:rsidR="00824DAC" w:rsidRPr="006D3E27">
        <w:rPr>
          <w:rFonts w:ascii="Times New Roman" w:hAnsi="Times New Roman" w:cs="Times New Roman"/>
          <w:sz w:val="24"/>
          <w:szCs w:val="24"/>
        </w:rPr>
        <w:t>ą</w:t>
      </w:r>
      <w:r w:rsidR="00870057" w:rsidRPr="006D3E27">
        <w:rPr>
          <w:rFonts w:ascii="Times New Roman" w:hAnsi="Times New Roman" w:cs="Times New Roman"/>
          <w:sz w:val="24"/>
          <w:szCs w:val="24"/>
        </w:rPr>
        <w:t xml:space="preserve"> ich klientami częściej</w:t>
      </w:r>
      <w:r w:rsidR="00412103" w:rsidRPr="006D3E27">
        <w:rPr>
          <w:rFonts w:ascii="Times New Roman" w:hAnsi="Times New Roman" w:cs="Times New Roman"/>
          <w:sz w:val="24"/>
          <w:szCs w:val="24"/>
        </w:rPr>
        <w:t xml:space="preserve"> od </w:t>
      </w:r>
      <w:r w:rsidR="00FA70D4" w:rsidRPr="006D3E27">
        <w:rPr>
          <w:rFonts w:ascii="Times New Roman" w:hAnsi="Times New Roman" w:cs="Times New Roman"/>
          <w:sz w:val="24"/>
          <w:szCs w:val="24"/>
        </w:rPr>
        <w:t>kobiet</w:t>
      </w:r>
      <w:r w:rsidR="00412103" w:rsidRPr="006D3E27">
        <w:rPr>
          <w:rFonts w:ascii="Times New Roman" w:hAnsi="Times New Roman" w:cs="Times New Roman"/>
          <w:sz w:val="24"/>
          <w:szCs w:val="24"/>
        </w:rPr>
        <w:t xml:space="preserve"> w województwach: dolnośląskim</w:t>
      </w:r>
      <w:r w:rsidR="00E70CF0" w:rsidRPr="006D3E27">
        <w:rPr>
          <w:rFonts w:ascii="Times New Roman" w:hAnsi="Times New Roman" w:cs="Times New Roman"/>
          <w:sz w:val="24"/>
          <w:szCs w:val="24"/>
        </w:rPr>
        <w:t xml:space="preserve"> </w:t>
      </w:r>
      <w:r w:rsidR="00412103" w:rsidRPr="006D3E27">
        <w:rPr>
          <w:rFonts w:ascii="Times New Roman" w:hAnsi="Times New Roman" w:cs="Times New Roman"/>
          <w:sz w:val="24"/>
          <w:szCs w:val="24"/>
        </w:rPr>
        <w:t>(80), lubuskim (86), łódzkim (61), o</w:t>
      </w:r>
      <w:r w:rsidR="00E70CF0" w:rsidRPr="006D3E27">
        <w:rPr>
          <w:rFonts w:ascii="Times New Roman" w:hAnsi="Times New Roman" w:cs="Times New Roman"/>
          <w:sz w:val="24"/>
          <w:szCs w:val="24"/>
        </w:rPr>
        <w:t>pol</w:t>
      </w:r>
      <w:r w:rsidR="00412103" w:rsidRPr="006D3E27">
        <w:rPr>
          <w:rFonts w:ascii="Times New Roman" w:hAnsi="Times New Roman" w:cs="Times New Roman"/>
          <w:sz w:val="24"/>
          <w:szCs w:val="24"/>
        </w:rPr>
        <w:t>skim (81), p</w:t>
      </w:r>
      <w:r w:rsidR="00E70CF0" w:rsidRPr="006D3E27">
        <w:rPr>
          <w:rFonts w:ascii="Times New Roman" w:hAnsi="Times New Roman" w:cs="Times New Roman"/>
          <w:sz w:val="24"/>
          <w:szCs w:val="24"/>
        </w:rPr>
        <w:t>o</w:t>
      </w:r>
      <w:r w:rsidR="00824DAC" w:rsidRPr="006D3E27">
        <w:rPr>
          <w:rFonts w:ascii="Times New Roman" w:hAnsi="Times New Roman" w:cs="Times New Roman"/>
          <w:sz w:val="24"/>
          <w:szCs w:val="24"/>
        </w:rPr>
        <w:t>d</w:t>
      </w:r>
      <w:r w:rsidR="00E70CF0" w:rsidRPr="006D3E27">
        <w:rPr>
          <w:rFonts w:ascii="Times New Roman" w:hAnsi="Times New Roman" w:cs="Times New Roman"/>
          <w:sz w:val="24"/>
          <w:szCs w:val="24"/>
        </w:rPr>
        <w:t>la</w:t>
      </w:r>
      <w:r w:rsidR="00412103" w:rsidRPr="006D3E27">
        <w:rPr>
          <w:rFonts w:ascii="Times New Roman" w:hAnsi="Times New Roman" w:cs="Times New Roman"/>
          <w:sz w:val="24"/>
          <w:szCs w:val="24"/>
        </w:rPr>
        <w:t>ski</w:t>
      </w:r>
      <w:r w:rsidR="00E70CF0" w:rsidRPr="006D3E27">
        <w:rPr>
          <w:rFonts w:ascii="Times New Roman" w:hAnsi="Times New Roman" w:cs="Times New Roman"/>
          <w:sz w:val="24"/>
          <w:szCs w:val="24"/>
        </w:rPr>
        <w:t xml:space="preserve">m (69), </w:t>
      </w:r>
      <w:r w:rsidR="00412103" w:rsidRPr="006D3E27">
        <w:rPr>
          <w:rFonts w:ascii="Times New Roman" w:hAnsi="Times New Roman" w:cs="Times New Roman"/>
          <w:sz w:val="24"/>
          <w:szCs w:val="24"/>
        </w:rPr>
        <w:t>śląski</w:t>
      </w:r>
      <w:r w:rsidR="00E70CF0" w:rsidRPr="006D3E27">
        <w:rPr>
          <w:rFonts w:ascii="Times New Roman" w:hAnsi="Times New Roman" w:cs="Times New Roman"/>
          <w:sz w:val="24"/>
          <w:szCs w:val="24"/>
        </w:rPr>
        <w:t>m (56</w:t>
      </w:r>
      <w:r w:rsidR="00412103" w:rsidRPr="006D3E27">
        <w:rPr>
          <w:rFonts w:ascii="Times New Roman" w:hAnsi="Times New Roman" w:cs="Times New Roman"/>
          <w:sz w:val="24"/>
          <w:szCs w:val="24"/>
        </w:rPr>
        <w:t>), warmińsko</w:t>
      </w:r>
      <w:r w:rsidR="00A2350A">
        <w:rPr>
          <w:rFonts w:ascii="Times New Roman" w:hAnsi="Times New Roman" w:cs="Times New Roman"/>
          <w:sz w:val="24"/>
          <w:szCs w:val="24"/>
        </w:rPr>
        <w:t>-</w:t>
      </w:r>
      <w:r w:rsidR="00A2350A">
        <w:rPr>
          <w:rFonts w:ascii="Times New Roman" w:hAnsi="Times New Roman" w:cs="Times New Roman"/>
          <w:sz w:val="24"/>
          <w:szCs w:val="24"/>
        </w:rPr>
        <w:br/>
        <w:t>-</w:t>
      </w:r>
      <w:r w:rsidR="00412103" w:rsidRPr="006D3E27">
        <w:rPr>
          <w:rFonts w:ascii="Times New Roman" w:hAnsi="Times New Roman" w:cs="Times New Roman"/>
          <w:sz w:val="24"/>
          <w:szCs w:val="24"/>
        </w:rPr>
        <w:t>mazurski</w:t>
      </w:r>
      <w:r w:rsidR="00C64600" w:rsidRPr="006D3E27">
        <w:rPr>
          <w:rFonts w:ascii="Times New Roman" w:hAnsi="Times New Roman" w:cs="Times New Roman"/>
          <w:sz w:val="24"/>
          <w:szCs w:val="24"/>
        </w:rPr>
        <w:t>m (97) i</w:t>
      </w:r>
      <w:r w:rsidR="00412103" w:rsidRPr="006D3E27">
        <w:rPr>
          <w:rFonts w:ascii="Times New Roman" w:hAnsi="Times New Roman" w:cs="Times New Roman"/>
          <w:sz w:val="24"/>
          <w:szCs w:val="24"/>
        </w:rPr>
        <w:t xml:space="preserve"> w</w:t>
      </w:r>
      <w:r w:rsidR="00E70CF0" w:rsidRPr="006D3E27">
        <w:rPr>
          <w:rFonts w:ascii="Times New Roman" w:hAnsi="Times New Roman" w:cs="Times New Roman"/>
          <w:sz w:val="24"/>
          <w:szCs w:val="24"/>
        </w:rPr>
        <w:t>ielkopol</w:t>
      </w:r>
      <w:r w:rsidR="00824DAC" w:rsidRPr="006D3E27">
        <w:rPr>
          <w:rFonts w:ascii="Times New Roman" w:hAnsi="Times New Roman" w:cs="Times New Roman"/>
          <w:sz w:val="24"/>
          <w:szCs w:val="24"/>
        </w:rPr>
        <w:t>sk</w:t>
      </w:r>
      <w:r w:rsidR="00412103" w:rsidRPr="006D3E27">
        <w:rPr>
          <w:rFonts w:ascii="Times New Roman" w:hAnsi="Times New Roman" w:cs="Times New Roman"/>
          <w:sz w:val="24"/>
          <w:szCs w:val="24"/>
        </w:rPr>
        <w:t>i</w:t>
      </w:r>
      <w:r w:rsidR="00E70CF0" w:rsidRPr="006D3E27">
        <w:rPr>
          <w:rFonts w:ascii="Times New Roman" w:hAnsi="Times New Roman" w:cs="Times New Roman"/>
          <w:sz w:val="24"/>
          <w:szCs w:val="24"/>
        </w:rPr>
        <w:t>m (82)</w:t>
      </w:r>
      <w:r w:rsidR="00826850" w:rsidRPr="006D3E27">
        <w:rPr>
          <w:rFonts w:ascii="Times New Roman" w:hAnsi="Times New Roman" w:cs="Times New Roman"/>
          <w:sz w:val="24"/>
          <w:szCs w:val="24"/>
        </w:rPr>
        <w:t>)</w:t>
      </w:r>
      <w:r w:rsidR="00E70CF0" w:rsidRPr="006D3E27">
        <w:rPr>
          <w:rFonts w:ascii="Times New Roman" w:hAnsi="Times New Roman" w:cs="Times New Roman"/>
          <w:sz w:val="24"/>
          <w:szCs w:val="24"/>
        </w:rPr>
        <w:t>. Natomi</w:t>
      </w:r>
      <w:r w:rsidR="00824DAC" w:rsidRPr="006D3E27">
        <w:rPr>
          <w:rFonts w:ascii="Times New Roman" w:hAnsi="Times New Roman" w:cs="Times New Roman"/>
          <w:sz w:val="24"/>
          <w:szCs w:val="24"/>
        </w:rPr>
        <w:t>a</w:t>
      </w:r>
      <w:r w:rsidR="00E70CF0" w:rsidRPr="006D3E27">
        <w:rPr>
          <w:rFonts w:ascii="Times New Roman" w:hAnsi="Times New Roman" w:cs="Times New Roman"/>
          <w:sz w:val="24"/>
          <w:szCs w:val="24"/>
        </w:rPr>
        <w:t xml:space="preserve">st </w:t>
      </w:r>
      <w:r w:rsidR="00AB0A24" w:rsidRPr="006D3E27">
        <w:rPr>
          <w:rFonts w:ascii="Times New Roman" w:hAnsi="Times New Roman" w:cs="Times New Roman"/>
          <w:sz w:val="24"/>
          <w:szCs w:val="24"/>
        </w:rPr>
        <w:t xml:space="preserve">jedynie </w:t>
      </w:r>
      <w:r w:rsidR="00412103" w:rsidRPr="006D3E27">
        <w:rPr>
          <w:rFonts w:ascii="Times New Roman" w:hAnsi="Times New Roman" w:cs="Times New Roman"/>
          <w:sz w:val="24"/>
          <w:szCs w:val="24"/>
        </w:rPr>
        <w:t>w województwie mazowieckim</w:t>
      </w:r>
      <w:r w:rsidR="00E70CF0" w:rsidRPr="006D3E27">
        <w:rPr>
          <w:rFonts w:ascii="Times New Roman" w:hAnsi="Times New Roman" w:cs="Times New Roman"/>
          <w:sz w:val="24"/>
          <w:szCs w:val="24"/>
        </w:rPr>
        <w:t xml:space="preserve"> kobiety części</w:t>
      </w:r>
      <w:r w:rsidR="00824DAC" w:rsidRPr="006D3E27">
        <w:rPr>
          <w:rFonts w:ascii="Times New Roman" w:hAnsi="Times New Roman" w:cs="Times New Roman"/>
          <w:sz w:val="24"/>
          <w:szCs w:val="24"/>
        </w:rPr>
        <w:t>e</w:t>
      </w:r>
      <w:r w:rsidR="00E70CF0" w:rsidRPr="006D3E27">
        <w:rPr>
          <w:rFonts w:ascii="Times New Roman" w:hAnsi="Times New Roman" w:cs="Times New Roman"/>
          <w:sz w:val="24"/>
          <w:szCs w:val="24"/>
        </w:rPr>
        <w:t>j niż m</w:t>
      </w:r>
      <w:r w:rsidR="00824DAC" w:rsidRPr="006D3E27">
        <w:rPr>
          <w:rFonts w:ascii="Times New Roman" w:hAnsi="Times New Roman" w:cs="Times New Roman"/>
          <w:sz w:val="24"/>
          <w:szCs w:val="24"/>
        </w:rPr>
        <w:t>ęż</w:t>
      </w:r>
      <w:r w:rsidR="00E70CF0" w:rsidRPr="006D3E27">
        <w:rPr>
          <w:rFonts w:ascii="Times New Roman" w:hAnsi="Times New Roman" w:cs="Times New Roman"/>
          <w:sz w:val="24"/>
          <w:szCs w:val="24"/>
        </w:rPr>
        <w:t>cz</w:t>
      </w:r>
      <w:r w:rsidR="00824DAC" w:rsidRPr="006D3E27">
        <w:rPr>
          <w:rFonts w:ascii="Times New Roman" w:hAnsi="Times New Roman" w:cs="Times New Roman"/>
          <w:sz w:val="24"/>
          <w:szCs w:val="24"/>
        </w:rPr>
        <w:t>yźni</w:t>
      </w:r>
      <w:r w:rsidR="00E70CF0" w:rsidRPr="006D3E27">
        <w:rPr>
          <w:rFonts w:ascii="Times New Roman" w:hAnsi="Times New Roman" w:cs="Times New Roman"/>
          <w:sz w:val="24"/>
          <w:szCs w:val="24"/>
        </w:rPr>
        <w:t xml:space="preserve"> wyb</w:t>
      </w:r>
      <w:r w:rsidR="00824DAC" w:rsidRPr="006D3E27">
        <w:rPr>
          <w:rFonts w:ascii="Times New Roman" w:hAnsi="Times New Roman" w:cs="Times New Roman"/>
          <w:sz w:val="24"/>
          <w:szCs w:val="24"/>
        </w:rPr>
        <w:t>i</w:t>
      </w:r>
      <w:r w:rsidR="00E70CF0" w:rsidRPr="006D3E27">
        <w:rPr>
          <w:rFonts w:ascii="Times New Roman" w:hAnsi="Times New Roman" w:cs="Times New Roman"/>
          <w:sz w:val="24"/>
          <w:szCs w:val="24"/>
        </w:rPr>
        <w:t>erały pociąg (123)</w:t>
      </w:r>
      <w:r w:rsidR="00AB0A24" w:rsidRPr="006D3E27">
        <w:rPr>
          <w:rFonts w:ascii="Times New Roman" w:hAnsi="Times New Roman" w:cs="Times New Roman"/>
          <w:sz w:val="24"/>
          <w:szCs w:val="24"/>
        </w:rPr>
        <w:t>.</w:t>
      </w:r>
    </w:p>
    <w:p w:rsidR="00455F79" w:rsidRPr="006D3E27" w:rsidRDefault="00455F79" w:rsidP="006D3E27">
      <w:pPr>
        <w:pStyle w:val="tekstgl"/>
        <w:spacing w:after="0" w:line="360" w:lineRule="auto"/>
        <w:ind w:firstLine="709"/>
        <w:rPr>
          <w:rFonts w:ascii="Times New Roman" w:hAnsi="Times New Roman" w:cs="Times New Roman"/>
          <w:sz w:val="24"/>
          <w:szCs w:val="24"/>
        </w:rPr>
      </w:pPr>
      <w:r w:rsidRPr="006D3E27">
        <w:rPr>
          <w:rFonts w:ascii="Times New Roman" w:hAnsi="Times New Roman" w:cs="Times New Roman"/>
          <w:sz w:val="24"/>
          <w:szCs w:val="24"/>
        </w:rPr>
        <w:t xml:space="preserve">Ostatnią, </w:t>
      </w:r>
      <w:r w:rsidR="00585BE0" w:rsidRPr="006D3E27">
        <w:rPr>
          <w:rFonts w:ascii="Times New Roman" w:hAnsi="Times New Roman" w:cs="Times New Roman"/>
          <w:sz w:val="24"/>
          <w:szCs w:val="24"/>
        </w:rPr>
        <w:t>a</w:t>
      </w:r>
      <w:r w:rsidRPr="006D3E27">
        <w:rPr>
          <w:rFonts w:ascii="Times New Roman" w:hAnsi="Times New Roman" w:cs="Times New Roman"/>
          <w:sz w:val="24"/>
          <w:szCs w:val="24"/>
        </w:rPr>
        <w:t>le</w:t>
      </w:r>
      <w:r w:rsidR="00585BE0" w:rsidRPr="006D3E27">
        <w:rPr>
          <w:rFonts w:ascii="Times New Roman" w:hAnsi="Times New Roman" w:cs="Times New Roman"/>
          <w:sz w:val="24"/>
          <w:szCs w:val="24"/>
        </w:rPr>
        <w:t xml:space="preserve"> </w:t>
      </w:r>
      <w:r w:rsidRPr="006D3E27">
        <w:rPr>
          <w:rFonts w:ascii="Times New Roman" w:hAnsi="Times New Roman" w:cs="Times New Roman"/>
          <w:sz w:val="24"/>
          <w:szCs w:val="24"/>
        </w:rPr>
        <w:t>nie mniej ważn</w:t>
      </w:r>
      <w:r w:rsidR="00585BE0" w:rsidRPr="006D3E27">
        <w:rPr>
          <w:rFonts w:ascii="Times New Roman" w:hAnsi="Times New Roman" w:cs="Times New Roman"/>
          <w:sz w:val="24"/>
          <w:szCs w:val="24"/>
        </w:rPr>
        <w:t>ą,</w:t>
      </w:r>
      <w:r w:rsidRPr="006D3E27">
        <w:rPr>
          <w:rFonts w:ascii="Times New Roman" w:hAnsi="Times New Roman" w:cs="Times New Roman"/>
          <w:sz w:val="24"/>
          <w:szCs w:val="24"/>
        </w:rPr>
        <w:t xml:space="preserve"> cech</w:t>
      </w:r>
      <w:r w:rsidR="00585BE0" w:rsidRPr="006D3E27">
        <w:rPr>
          <w:rFonts w:ascii="Times New Roman" w:hAnsi="Times New Roman" w:cs="Times New Roman"/>
          <w:sz w:val="24"/>
          <w:szCs w:val="24"/>
        </w:rPr>
        <w:t>ą</w:t>
      </w:r>
      <w:r w:rsidRPr="006D3E27">
        <w:rPr>
          <w:rFonts w:ascii="Times New Roman" w:hAnsi="Times New Roman" w:cs="Times New Roman"/>
          <w:sz w:val="24"/>
          <w:szCs w:val="24"/>
        </w:rPr>
        <w:t xml:space="preserve"> dojazdów do pr</w:t>
      </w:r>
      <w:r w:rsidR="00585BE0" w:rsidRPr="006D3E27">
        <w:rPr>
          <w:rFonts w:ascii="Times New Roman" w:hAnsi="Times New Roman" w:cs="Times New Roman"/>
          <w:sz w:val="24"/>
          <w:szCs w:val="24"/>
        </w:rPr>
        <w:t>a</w:t>
      </w:r>
      <w:r w:rsidRPr="006D3E27">
        <w:rPr>
          <w:rFonts w:ascii="Times New Roman" w:hAnsi="Times New Roman" w:cs="Times New Roman"/>
          <w:sz w:val="24"/>
          <w:szCs w:val="24"/>
        </w:rPr>
        <w:t>cy jest ich cz</w:t>
      </w:r>
      <w:r w:rsidR="00585BE0" w:rsidRPr="006D3E27">
        <w:rPr>
          <w:rFonts w:ascii="Times New Roman" w:hAnsi="Times New Roman" w:cs="Times New Roman"/>
          <w:sz w:val="24"/>
          <w:szCs w:val="24"/>
        </w:rPr>
        <w:t>ę</w:t>
      </w:r>
      <w:r w:rsidRPr="006D3E27">
        <w:rPr>
          <w:rFonts w:ascii="Times New Roman" w:hAnsi="Times New Roman" w:cs="Times New Roman"/>
          <w:sz w:val="24"/>
          <w:szCs w:val="24"/>
        </w:rPr>
        <w:t>stotli</w:t>
      </w:r>
      <w:r w:rsidR="00585BE0" w:rsidRPr="006D3E27">
        <w:rPr>
          <w:rFonts w:ascii="Times New Roman" w:hAnsi="Times New Roman" w:cs="Times New Roman"/>
          <w:sz w:val="24"/>
          <w:szCs w:val="24"/>
        </w:rPr>
        <w:t>w</w:t>
      </w:r>
      <w:r w:rsidRPr="006D3E27">
        <w:rPr>
          <w:rFonts w:ascii="Times New Roman" w:hAnsi="Times New Roman" w:cs="Times New Roman"/>
          <w:sz w:val="24"/>
          <w:szCs w:val="24"/>
        </w:rPr>
        <w:t>oś</w:t>
      </w:r>
      <w:r w:rsidR="00585BE0" w:rsidRPr="006D3E27">
        <w:rPr>
          <w:rFonts w:ascii="Times New Roman" w:hAnsi="Times New Roman" w:cs="Times New Roman"/>
          <w:sz w:val="24"/>
          <w:szCs w:val="24"/>
        </w:rPr>
        <w:t>ć</w:t>
      </w:r>
      <w:r w:rsidR="00E32FBC" w:rsidRPr="006D3E27">
        <w:rPr>
          <w:rFonts w:ascii="Times New Roman" w:hAnsi="Times New Roman" w:cs="Times New Roman"/>
          <w:sz w:val="24"/>
          <w:szCs w:val="24"/>
        </w:rPr>
        <w:t xml:space="preserve">. </w:t>
      </w:r>
      <w:r w:rsidR="00C17C94" w:rsidRPr="006D3E27">
        <w:rPr>
          <w:rFonts w:ascii="Times New Roman" w:hAnsi="Times New Roman" w:cs="Times New Roman"/>
          <w:sz w:val="24"/>
          <w:szCs w:val="24"/>
        </w:rPr>
        <w:t>Najwięcej, bo 7487</w:t>
      </w:r>
      <w:r w:rsidR="0036599A" w:rsidRPr="006D3E27">
        <w:rPr>
          <w:rFonts w:ascii="Times New Roman" w:hAnsi="Times New Roman" w:cs="Times New Roman"/>
          <w:sz w:val="24"/>
          <w:szCs w:val="24"/>
        </w:rPr>
        <w:t>,</w:t>
      </w:r>
      <w:r w:rsidR="00C17C94" w:rsidRPr="006D3E27">
        <w:rPr>
          <w:rFonts w:ascii="Times New Roman" w:hAnsi="Times New Roman" w:cs="Times New Roman"/>
          <w:sz w:val="24"/>
          <w:szCs w:val="24"/>
        </w:rPr>
        <w:t>8</w:t>
      </w:r>
      <w:r w:rsidR="0036599A" w:rsidRPr="006D3E27">
        <w:rPr>
          <w:rFonts w:ascii="Times New Roman" w:hAnsi="Times New Roman" w:cs="Times New Roman"/>
          <w:sz w:val="24"/>
          <w:szCs w:val="24"/>
        </w:rPr>
        <w:t xml:space="preserve"> tys. </w:t>
      </w:r>
      <w:r w:rsidR="00C17C94" w:rsidRPr="006D3E27">
        <w:rPr>
          <w:rFonts w:ascii="Times New Roman" w:hAnsi="Times New Roman" w:cs="Times New Roman"/>
          <w:sz w:val="24"/>
          <w:szCs w:val="24"/>
        </w:rPr>
        <w:t>osób</w:t>
      </w:r>
      <w:r w:rsidR="00867F8E" w:rsidRPr="006D3E27">
        <w:rPr>
          <w:rFonts w:ascii="Times New Roman" w:hAnsi="Times New Roman" w:cs="Times New Roman"/>
          <w:sz w:val="24"/>
          <w:szCs w:val="24"/>
        </w:rPr>
        <w:t xml:space="preserve"> (81,9</w:t>
      </w:r>
      <w:r w:rsidRPr="006D3E27">
        <w:rPr>
          <w:rFonts w:ascii="Times New Roman" w:hAnsi="Times New Roman" w:cs="Times New Roman"/>
          <w:sz w:val="24"/>
          <w:szCs w:val="24"/>
        </w:rPr>
        <w:t>% ogółu dojeżdżających)</w:t>
      </w:r>
      <w:r w:rsidR="00867F8E" w:rsidRPr="006D3E27">
        <w:rPr>
          <w:rFonts w:ascii="Times New Roman" w:hAnsi="Times New Roman" w:cs="Times New Roman"/>
          <w:sz w:val="24"/>
          <w:szCs w:val="24"/>
        </w:rPr>
        <w:t xml:space="preserve"> dojeżdża</w:t>
      </w:r>
      <w:r w:rsidR="00C17C94" w:rsidRPr="006D3E27">
        <w:rPr>
          <w:rFonts w:ascii="Times New Roman" w:hAnsi="Times New Roman" w:cs="Times New Roman"/>
          <w:sz w:val="24"/>
          <w:szCs w:val="24"/>
        </w:rPr>
        <w:t>ło</w:t>
      </w:r>
      <w:r w:rsidR="00867F8E" w:rsidRPr="006D3E27">
        <w:rPr>
          <w:rFonts w:ascii="Times New Roman" w:hAnsi="Times New Roman" w:cs="Times New Roman"/>
          <w:sz w:val="24"/>
          <w:szCs w:val="24"/>
        </w:rPr>
        <w:t xml:space="preserve"> do pracy codziennie</w:t>
      </w:r>
      <w:r w:rsidRPr="006D3E27">
        <w:rPr>
          <w:rFonts w:ascii="Times New Roman" w:hAnsi="Times New Roman" w:cs="Times New Roman"/>
          <w:sz w:val="24"/>
          <w:szCs w:val="24"/>
        </w:rPr>
        <w:t xml:space="preserve">, </w:t>
      </w:r>
      <w:r w:rsidR="00D01E7B" w:rsidRPr="006D3E27">
        <w:rPr>
          <w:rFonts w:ascii="Times New Roman" w:hAnsi="Times New Roman" w:cs="Times New Roman"/>
          <w:sz w:val="24"/>
          <w:szCs w:val="24"/>
        </w:rPr>
        <w:t>1446</w:t>
      </w:r>
      <w:r w:rsidR="0036599A" w:rsidRPr="006D3E27">
        <w:rPr>
          <w:rFonts w:ascii="Times New Roman" w:hAnsi="Times New Roman" w:cs="Times New Roman"/>
          <w:sz w:val="24"/>
          <w:szCs w:val="24"/>
        </w:rPr>
        <w:t xml:space="preserve">,5 tys. </w:t>
      </w:r>
      <w:r w:rsidR="00867F8E" w:rsidRPr="006D3E27">
        <w:rPr>
          <w:rFonts w:ascii="Times New Roman" w:hAnsi="Times New Roman" w:cs="Times New Roman"/>
          <w:sz w:val="24"/>
          <w:szCs w:val="24"/>
        </w:rPr>
        <w:t>osób (15,8</w:t>
      </w:r>
      <w:r w:rsidRPr="006D3E27">
        <w:rPr>
          <w:rFonts w:ascii="Times New Roman" w:hAnsi="Times New Roman" w:cs="Times New Roman"/>
          <w:sz w:val="24"/>
          <w:szCs w:val="24"/>
        </w:rPr>
        <w:t xml:space="preserve">%) – </w:t>
      </w:r>
      <w:r w:rsidR="00867F8E" w:rsidRPr="006D3E27">
        <w:rPr>
          <w:rFonts w:ascii="Times New Roman" w:hAnsi="Times New Roman" w:cs="Times New Roman"/>
          <w:sz w:val="24"/>
          <w:szCs w:val="24"/>
        </w:rPr>
        <w:t>czyni</w:t>
      </w:r>
      <w:r w:rsidR="00243315" w:rsidRPr="006D3E27">
        <w:rPr>
          <w:rFonts w:ascii="Times New Roman" w:hAnsi="Times New Roman" w:cs="Times New Roman"/>
          <w:sz w:val="24"/>
          <w:szCs w:val="24"/>
        </w:rPr>
        <w:t>ł</w:t>
      </w:r>
      <w:r w:rsidR="00E11C16" w:rsidRPr="006D3E27">
        <w:rPr>
          <w:rFonts w:ascii="Times New Roman" w:hAnsi="Times New Roman" w:cs="Times New Roman"/>
          <w:sz w:val="24"/>
          <w:szCs w:val="24"/>
        </w:rPr>
        <w:t>o</w:t>
      </w:r>
      <w:r w:rsidR="00867F8E" w:rsidRPr="006D3E27">
        <w:rPr>
          <w:rFonts w:ascii="Times New Roman" w:hAnsi="Times New Roman" w:cs="Times New Roman"/>
          <w:sz w:val="24"/>
          <w:szCs w:val="24"/>
        </w:rPr>
        <w:t xml:space="preserve"> to częściej niż raz w tygodniu ale nie codziennie</w:t>
      </w:r>
      <w:r w:rsidRPr="006D3E27">
        <w:rPr>
          <w:rFonts w:ascii="Times New Roman" w:hAnsi="Times New Roman" w:cs="Times New Roman"/>
          <w:sz w:val="24"/>
          <w:szCs w:val="24"/>
        </w:rPr>
        <w:t xml:space="preserve">, </w:t>
      </w:r>
      <w:r w:rsidR="00D01E7B" w:rsidRPr="006D3E27">
        <w:rPr>
          <w:rFonts w:ascii="Times New Roman" w:hAnsi="Times New Roman" w:cs="Times New Roman"/>
          <w:sz w:val="24"/>
          <w:szCs w:val="24"/>
        </w:rPr>
        <w:t>139</w:t>
      </w:r>
      <w:r w:rsidR="0036599A" w:rsidRPr="006D3E27">
        <w:rPr>
          <w:rFonts w:ascii="Times New Roman" w:hAnsi="Times New Roman" w:cs="Times New Roman"/>
          <w:sz w:val="24"/>
          <w:szCs w:val="24"/>
        </w:rPr>
        <w:t xml:space="preserve">,8 tys. </w:t>
      </w:r>
      <w:r w:rsidR="00C17C94" w:rsidRPr="006D3E27">
        <w:rPr>
          <w:rFonts w:ascii="Times New Roman" w:hAnsi="Times New Roman" w:cs="Times New Roman"/>
          <w:sz w:val="24"/>
          <w:szCs w:val="24"/>
        </w:rPr>
        <w:t>osób</w:t>
      </w:r>
      <w:r w:rsidR="00867F8E" w:rsidRPr="006D3E27">
        <w:rPr>
          <w:rFonts w:ascii="Times New Roman" w:hAnsi="Times New Roman" w:cs="Times New Roman"/>
          <w:sz w:val="24"/>
          <w:szCs w:val="24"/>
        </w:rPr>
        <w:t xml:space="preserve"> (1,5</w:t>
      </w:r>
      <w:r w:rsidRPr="006D3E27">
        <w:rPr>
          <w:rFonts w:ascii="Times New Roman" w:hAnsi="Times New Roman" w:cs="Times New Roman"/>
          <w:sz w:val="24"/>
          <w:szCs w:val="24"/>
        </w:rPr>
        <w:t>%)</w:t>
      </w:r>
      <w:r w:rsidR="00867F8E" w:rsidRPr="006D3E27">
        <w:rPr>
          <w:rFonts w:ascii="Times New Roman" w:hAnsi="Times New Roman" w:cs="Times New Roman"/>
          <w:sz w:val="24"/>
          <w:szCs w:val="24"/>
        </w:rPr>
        <w:t xml:space="preserve"> – raz w tygodniu</w:t>
      </w:r>
      <w:r w:rsidRPr="006D3E27">
        <w:rPr>
          <w:rFonts w:ascii="Times New Roman" w:hAnsi="Times New Roman" w:cs="Times New Roman"/>
          <w:sz w:val="24"/>
          <w:szCs w:val="24"/>
        </w:rPr>
        <w:t xml:space="preserve">, </w:t>
      </w:r>
      <w:r w:rsidR="00D01E7B" w:rsidRPr="006D3E27">
        <w:rPr>
          <w:rFonts w:ascii="Times New Roman" w:hAnsi="Times New Roman" w:cs="Times New Roman"/>
          <w:sz w:val="24"/>
          <w:szCs w:val="24"/>
        </w:rPr>
        <w:t>37</w:t>
      </w:r>
      <w:r w:rsidR="0036599A" w:rsidRPr="006D3E27">
        <w:rPr>
          <w:rFonts w:ascii="Times New Roman" w:hAnsi="Times New Roman" w:cs="Times New Roman"/>
          <w:sz w:val="24"/>
          <w:szCs w:val="24"/>
        </w:rPr>
        <w:t xml:space="preserve">,9 tys. </w:t>
      </w:r>
      <w:r w:rsidR="00867F8E" w:rsidRPr="006D3E27">
        <w:rPr>
          <w:rFonts w:ascii="Times New Roman" w:hAnsi="Times New Roman" w:cs="Times New Roman"/>
          <w:sz w:val="24"/>
          <w:szCs w:val="24"/>
        </w:rPr>
        <w:t>osób (0,4</w:t>
      </w:r>
      <w:r w:rsidRPr="006D3E27">
        <w:rPr>
          <w:rFonts w:ascii="Times New Roman" w:hAnsi="Times New Roman" w:cs="Times New Roman"/>
          <w:sz w:val="24"/>
          <w:szCs w:val="24"/>
        </w:rPr>
        <w:t xml:space="preserve">%) </w:t>
      </w:r>
      <w:r w:rsidR="00867F8E" w:rsidRPr="006D3E27">
        <w:rPr>
          <w:rFonts w:ascii="Times New Roman" w:hAnsi="Times New Roman" w:cs="Times New Roman"/>
          <w:sz w:val="24"/>
          <w:szCs w:val="24"/>
        </w:rPr>
        <w:t xml:space="preserve">– raz na dwa </w:t>
      </w:r>
      <w:r w:rsidR="00867F8E" w:rsidRPr="006D3E27">
        <w:rPr>
          <w:rFonts w:ascii="Times New Roman" w:hAnsi="Times New Roman" w:cs="Times New Roman"/>
          <w:sz w:val="24"/>
          <w:szCs w:val="24"/>
        </w:rPr>
        <w:lastRenderedPageBreak/>
        <w:t>tygodnie, 21</w:t>
      </w:r>
      <w:r w:rsidR="0036599A" w:rsidRPr="006D3E27">
        <w:rPr>
          <w:rFonts w:ascii="Times New Roman" w:hAnsi="Times New Roman" w:cs="Times New Roman"/>
          <w:sz w:val="24"/>
          <w:szCs w:val="24"/>
        </w:rPr>
        <w:t>,</w:t>
      </w:r>
      <w:r w:rsidR="00867F8E" w:rsidRPr="006D3E27">
        <w:rPr>
          <w:rFonts w:ascii="Times New Roman" w:hAnsi="Times New Roman" w:cs="Times New Roman"/>
          <w:sz w:val="24"/>
          <w:szCs w:val="24"/>
        </w:rPr>
        <w:t>2</w:t>
      </w:r>
      <w:r w:rsidR="0036599A" w:rsidRPr="006D3E27">
        <w:rPr>
          <w:rFonts w:ascii="Times New Roman" w:hAnsi="Times New Roman" w:cs="Times New Roman"/>
          <w:sz w:val="24"/>
          <w:szCs w:val="24"/>
        </w:rPr>
        <w:t xml:space="preserve"> tys. </w:t>
      </w:r>
      <w:r w:rsidR="00867F8E" w:rsidRPr="006D3E27">
        <w:rPr>
          <w:rFonts w:ascii="Times New Roman" w:hAnsi="Times New Roman" w:cs="Times New Roman"/>
          <w:sz w:val="24"/>
          <w:szCs w:val="24"/>
        </w:rPr>
        <w:t>osób (0,2%) – raz w miesiącu, natomiast pozostałe</w:t>
      </w:r>
      <w:r w:rsidR="00C17C94" w:rsidRPr="006D3E27">
        <w:rPr>
          <w:rFonts w:ascii="Times New Roman" w:hAnsi="Times New Roman" w:cs="Times New Roman"/>
          <w:sz w:val="24"/>
          <w:szCs w:val="24"/>
        </w:rPr>
        <w:t xml:space="preserve"> 9</w:t>
      </w:r>
      <w:r w:rsidR="0036599A" w:rsidRPr="006D3E27">
        <w:rPr>
          <w:rFonts w:ascii="Times New Roman" w:hAnsi="Times New Roman" w:cs="Times New Roman"/>
          <w:sz w:val="24"/>
          <w:szCs w:val="24"/>
        </w:rPr>
        <w:t>,2 tys.</w:t>
      </w:r>
      <w:r w:rsidR="00867F8E" w:rsidRPr="006D3E27">
        <w:rPr>
          <w:rFonts w:ascii="Times New Roman" w:hAnsi="Times New Roman" w:cs="Times New Roman"/>
          <w:sz w:val="24"/>
          <w:szCs w:val="24"/>
        </w:rPr>
        <w:t xml:space="preserve"> osób (0,1%) – rzadziej niż raz w miesiącu</w:t>
      </w:r>
      <w:r w:rsidRPr="006D3E27">
        <w:rPr>
          <w:rFonts w:ascii="Times New Roman" w:hAnsi="Times New Roman" w:cs="Times New Roman"/>
          <w:sz w:val="24"/>
          <w:szCs w:val="24"/>
        </w:rPr>
        <w:t>.</w:t>
      </w:r>
    </w:p>
    <w:p w:rsidR="00455F79" w:rsidRPr="00B417EF" w:rsidRDefault="00910247" w:rsidP="00B417EF">
      <w:pPr>
        <w:pStyle w:val="tekstgl"/>
        <w:spacing w:after="0" w:line="360" w:lineRule="auto"/>
        <w:ind w:firstLine="709"/>
        <w:rPr>
          <w:rFonts w:ascii="Times New Roman" w:hAnsi="Times New Roman" w:cs="Times New Roman"/>
          <w:sz w:val="24"/>
          <w:szCs w:val="24"/>
        </w:rPr>
      </w:pPr>
      <w:r w:rsidRPr="00B417EF">
        <w:rPr>
          <w:rFonts w:ascii="Times New Roman" w:hAnsi="Times New Roman" w:cs="Times New Roman"/>
          <w:sz w:val="24"/>
          <w:szCs w:val="24"/>
        </w:rPr>
        <w:t>Najwyższy udział dojeżdżających do pracy codziennie w ogólnej ich liczbie wystąpił w</w:t>
      </w:r>
      <w:r w:rsidR="00455F79" w:rsidRPr="00B417EF">
        <w:rPr>
          <w:rFonts w:ascii="Times New Roman" w:hAnsi="Times New Roman" w:cs="Times New Roman"/>
          <w:sz w:val="24"/>
          <w:szCs w:val="24"/>
        </w:rPr>
        <w:t xml:space="preserve"> woje</w:t>
      </w:r>
      <w:r w:rsidRPr="00B417EF">
        <w:rPr>
          <w:rFonts w:ascii="Times New Roman" w:hAnsi="Times New Roman" w:cs="Times New Roman"/>
          <w:sz w:val="24"/>
          <w:szCs w:val="24"/>
        </w:rPr>
        <w:t>wództwie dolnośląskim</w:t>
      </w:r>
      <w:r w:rsidR="004C767D" w:rsidRPr="00B417EF">
        <w:rPr>
          <w:rFonts w:ascii="Times New Roman" w:hAnsi="Times New Roman" w:cs="Times New Roman"/>
          <w:sz w:val="24"/>
          <w:szCs w:val="24"/>
        </w:rPr>
        <w:t xml:space="preserve"> (84,2</w:t>
      </w:r>
      <w:r w:rsidR="00455F79" w:rsidRPr="00B417EF">
        <w:rPr>
          <w:rFonts w:ascii="Times New Roman" w:hAnsi="Times New Roman" w:cs="Times New Roman"/>
          <w:sz w:val="24"/>
          <w:szCs w:val="24"/>
        </w:rPr>
        <w:t>%), zaś naj</w:t>
      </w:r>
      <w:r w:rsidR="004C767D" w:rsidRPr="00B417EF">
        <w:rPr>
          <w:rFonts w:ascii="Times New Roman" w:hAnsi="Times New Roman" w:cs="Times New Roman"/>
          <w:sz w:val="24"/>
          <w:szCs w:val="24"/>
        </w:rPr>
        <w:t xml:space="preserve">mniejszy – </w:t>
      </w:r>
      <w:r w:rsidRPr="00B417EF">
        <w:rPr>
          <w:rFonts w:ascii="Times New Roman" w:hAnsi="Times New Roman" w:cs="Times New Roman"/>
          <w:sz w:val="24"/>
          <w:szCs w:val="24"/>
        </w:rPr>
        <w:t>w lubelskim</w:t>
      </w:r>
      <w:r w:rsidR="004C767D" w:rsidRPr="00B417EF">
        <w:rPr>
          <w:rFonts w:ascii="Times New Roman" w:hAnsi="Times New Roman" w:cs="Times New Roman"/>
          <w:sz w:val="24"/>
          <w:szCs w:val="24"/>
        </w:rPr>
        <w:t xml:space="preserve"> (77,6</w:t>
      </w:r>
      <w:r w:rsidR="00455F79" w:rsidRPr="00B417EF">
        <w:rPr>
          <w:rFonts w:ascii="Times New Roman" w:hAnsi="Times New Roman" w:cs="Times New Roman"/>
          <w:sz w:val="24"/>
          <w:szCs w:val="24"/>
        </w:rPr>
        <w:t xml:space="preserve">%). </w:t>
      </w:r>
      <w:r w:rsidR="00A738C4" w:rsidRPr="00B417EF">
        <w:rPr>
          <w:rFonts w:ascii="Times New Roman" w:hAnsi="Times New Roman" w:cs="Times New Roman"/>
          <w:sz w:val="24"/>
          <w:szCs w:val="24"/>
        </w:rPr>
        <w:t>Województwo lubelskie</w:t>
      </w:r>
      <w:r w:rsidR="002C13B4" w:rsidRPr="00B417EF">
        <w:rPr>
          <w:rFonts w:ascii="Times New Roman" w:hAnsi="Times New Roman" w:cs="Times New Roman"/>
          <w:sz w:val="24"/>
          <w:szCs w:val="24"/>
        </w:rPr>
        <w:t xml:space="preserve"> jednak dominuje pod względem </w:t>
      </w:r>
      <w:r w:rsidRPr="00B417EF">
        <w:rPr>
          <w:rFonts w:ascii="Times New Roman" w:hAnsi="Times New Roman" w:cs="Times New Roman"/>
          <w:sz w:val="24"/>
          <w:szCs w:val="24"/>
        </w:rPr>
        <w:t>udziału</w:t>
      </w:r>
      <w:r w:rsidR="002C13B4" w:rsidRPr="00B417EF">
        <w:rPr>
          <w:rFonts w:ascii="Times New Roman" w:hAnsi="Times New Roman" w:cs="Times New Roman"/>
          <w:sz w:val="24"/>
          <w:szCs w:val="24"/>
        </w:rPr>
        <w:t xml:space="preserve"> </w:t>
      </w:r>
      <w:r w:rsidR="009F7E9C" w:rsidRPr="00B417EF">
        <w:rPr>
          <w:rFonts w:ascii="Times New Roman" w:hAnsi="Times New Roman" w:cs="Times New Roman"/>
          <w:sz w:val="24"/>
          <w:szCs w:val="24"/>
        </w:rPr>
        <w:t xml:space="preserve">swych mieszkańców </w:t>
      </w:r>
      <w:r w:rsidR="00455F79" w:rsidRPr="00B417EF">
        <w:rPr>
          <w:rFonts w:ascii="Times New Roman" w:hAnsi="Times New Roman" w:cs="Times New Roman"/>
          <w:sz w:val="24"/>
          <w:szCs w:val="24"/>
        </w:rPr>
        <w:t>dojeżdżających</w:t>
      </w:r>
      <w:r w:rsidR="004C767D" w:rsidRPr="00B417EF">
        <w:rPr>
          <w:rFonts w:ascii="Times New Roman" w:hAnsi="Times New Roman" w:cs="Times New Roman"/>
          <w:sz w:val="24"/>
          <w:szCs w:val="24"/>
        </w:rPr>
        <w:t xml:space="preserve"> </w:t>
      </w:r>
      <w:r w:rsidR="009F7E9C" w:rsidRPr="00B417EF">
        <w:rPr>
          <w:rFonts w:ascii="Times New Roman" w:hAnsi="Times New Roman" w:cs="Times New Roman"/>
          <w:sz w:val="24"/>
          <w:szCs w:val="24"/>
        </w:rPr>
        <w:t xml:space="preserve">do pracy </w:t>
      </w:r>
      <w:r w:rsidR="004C767D" w:rsidRPr="00B417EF">
        <w:rPr>
          <w:rFonts w:ascii="Times New Roman" w:hAnsi="Times New Roman" w:cs="Times New Roman"/>
          <w:sz w:val="24"/>
          <w:szCs w:val="24"/>
        </w:rPr>
        <w:t xml:space="preserve">częściej niż raz </w:t>
      </w:r>
      <w:r w:rsidR="002C13B4" w:rsidRPr="00B417EF">
        <w:rPr>
          <w:rFonts w:ascii="Times New Roman" w:hAnsi="Times New Roman" w:cs="Times New Roman"/>
          <w:sz w:val="24"/>
          <w:szCs w:val="24"/>
        </w:rPr>
        <w:t>w</w:t>
      </w:r>
      <w:r w:rsidR="004C767D" w:rsidRPr="00B417EF">
        <w:rPr>
          <w:rFonts w:ascii="Times New Roman" w:hAnsi="Times New Roman" w:cs="Times New Roman"/>
          <w:sz w:val="24"/>
          <w:szCs w:val="24"/>
        </w:rPr>
        <w:t xml:space="preserve"> tygodniu ale nie codziennie</w:t>
      </w:r>
      <w:r w:rsidR="002C13B4" w:rsidRPr="00B417EF">
        <w:rPr>
          <w:rFonts w:ascii="Times New Roman" w:hAnsi="Times New Roman" w:cs="Times New Roman"/>
          <w:sz w:val="24"/>
          <w:szCs w:val="24"/>
        </w:rPr>
        <w:t xml:space="preserve"> (</w:t>
      </w:r>
      <w:r w:rsidR="00455F79" w:rsidRPr="00B417EF">
        <w:rPr>
          <w:rFonts w:ascii="Times New Roman" w:hAnsi="Times New Roman" w:cs="Times New Roman"/>
          <w:sz w:val="24"/>
          <w:szCs w:val="24"/>
        </w:rPr>
        <w:t>1</w:t>
      </w:r>
      <w:r w:rsidR="002C13B4" w:rsidRPr="00B417EF">
        <w:rPr>
          <w:rFonts w:ascii="Times New Roman" w:hAnsi="Times New Roman" w:cs="Times New Roman"/>
          <w:sz w:val="24"/>
          <w:szCs w:val="24"/>
        </w:rPr>
        <w:t>8,9</w:t>
      </w:r>
      <w:r w:rsidR="00816A59">
        <w:rPr>
          <w:rFonts w:ascii="Times New Roman" w:hAnsi="Times New Roman" w:cs="Times New Roman"/>
          <w:sz w:val="24"/>
          <w:szCs w:val="24"/>
        </w:rPr>
        <w:t>%), a </w:t>
      </w:r>
      <w:r w:rsidR="00455F79" w:rsidRPr="00B417EF">
        <w:rPr>
          <w:rFonts w:ascii="Times New Roman" w:hAnsi="Times New Roman" w:cs="Times New Roman"/>
          <w:sz w:val="24"/>
          <w:szCs w:val="24"/>
        </w:rPr>
        <w:t xml:space="preserve">najmniejszy </w:t>
      </w:r>
      <w:r w:rsidRPr="00B417EF">
        <w:rPr>
          <w:rFonts w:ascii="Times New Roman" w:hAnsi="Times New Roman" w:cs="Times New Roman"/>
          <w:sz w:val="24"/>
          <w:szCs w:val="24"/>
        </w:rPr>
        <w:t>udział</w:t>
      </w:r>
      <w:r w:rsidR="00455F79" w:rsidRPr="00B417EF">
        <w:rPr>
          <w:rFonts w:ascii="Times New Roman" w:hAnsi="Times New Roman" w:cs="Times New Roman"/>
          <w:sz w:val="24"/>
          <w:szCs w:val="24"/>
        </w:rPr>
        <w:t xml:space="preserve"> dojeżdżających w ta</w:t>
      </w:r>
      <w:r w:rsidR="002C13B4" w:rsidRPr="00B417EF">
        <w:rPr>
          <w:rFonts w:ascii="Times New Roman" w:hAnsi="Times New Roman" w:cs="Times New Roman"/>
          <w:sz w:val="24"/>
          <w:szCs w:val="24"/>
        </w:rPr>
        <w:t>kiej</w:t>
      </w:r>
      <w:r w:rsidR="00455F79" w:rsidRPr="00B417EF">
        <w:rPr>
          <w:rFonts w:ascii="Times New Roman" w:hAnsi="Times New Roman" w:cs="Times New Roman"/>
          <w:sz w:val="24"/>
          <w:szCs w:val="24"/>
        </w:rPr>
        <w:t xml:space="preserve"> </w:t>
      </w:r>
      <w:r w:rsidR="002C13B4" w:rsidRPr="00B417EF">
        <w:rPr>
          <w:rFonts w:ascii="Times New Roman" w:hAnsi="Times New Roman" w:cs="Times New Roman"/>
          <w:sz w:val="24"/>
          <w:szCs w:val="24"/>
        </w:rPr>
        <w:t>częstotliwości</w:t>
      </w:r>
      <w:r w:rsidR="00455F79" w:rsidRPr="00B417EF">
        <w:rPr>
          <w:rFonts w:ascii="Times New Roman" w:hAnsi="Times New Roman" w:cs="Times New Roman"/>
          <w:sz w:val="24"/>
          <w:szCs w:val="24"/>
        </w:rPr>
        <w:t xml:space="preserve"> </w:t>
      </w:r>
      <w:r w:rsidR="002C13B4" w:rsidRPr="00B417EF">
        <w:rPr>
          <w:rFonts w:ascii="Times New Roman" w:hAnsi="Times New Roman" w:cs="Times New Roman"/>
          <w:sz w:val="24"/>
          <w:szCs w:val="24"/>
        </w:rPr>
        <w:t xml:space="preserve">odnotowano </w:t>
      </w:r>
      <w:r w:rsidR="00455F79" w:rsidRPr="00B417EF">
        <w:rPr>
          <w:rFonts w:ascii="Times New Roman" w:hAnsi="Times New Roman" w:cs="Times New Roman"/>
          <w:sz w:val="24"/>
          <w:szCs w:val="24"/>
        </w:rPr>
        <w:t>w wojewódz</w:t>
      </w:r>
      <w:r w:rsidR="002C13B4" w:rsidRPr="00B417EF">
        <w:rPr>
          <w:rFonts w:ascii="Times New Roman" w:hAnsi="Times New Roman" w:cs="Times New Roman"/>
          <w:sz w:val="24"/>
          <w:szCs w:val="24"/>
        </w:rPr>
        <w:t>twie wielkopolskim (13,7</w:t>
      </w:r>
      <w:r w:rsidR="00455F79" w:rsidRPr="00B417EF">
        <w:rPr>
          <w:rFonts w:ascii="Times New Roman" w:hAnsi="Times New Roman" w:cs="Times New Roman"/>
          <w:sz w:val="24"/>
          <w:szCs w:val="24"/>
        </w:rPr>
        <w:t>%). W</w:t>
      </w:r>
      <w:r w:rsidR="009F1E75">
        <w:rPr>
          <w:rFonts w:ascii="Times New Roman" w:hAnsi="Times New Roman" w:cs="Times New Roman"/>
          <w:sz w:val="24"/>
          <w:szCs w:val="24"/>
        </w:rPr>
        <w:t> </w:t>
      </w:r>
      <w:r w:rsidR="00455F79" w:rsidRPr="00B417EF">
        <w:rPr>
          <w:rFonts w:ascii="Times New Roman" w:hAnsi="Times New Roman" w:cs="Times New Roman"/>
          <w:sz w:val="24"/>
          <w:szCs w:val="24"/>
        </w:rPr>
        <w:t>przypadku dojazdów do pracy</w:t>
      </w:r>
      <w:r w:rsidR="002C13B4" w:rsidRPr="00B417EF">
        <w:rPr>
          <w:rFonts w:ascii="Times New Roman" w:hAnsi="Times New Roman" w:cs="Times New Roman"/>
          <w:sz w:val="24"/>
          <w:szCs w:val="24"/>
        </w:rPr>
        <w:t xml:space="preserve"> odbywanych raz w tygodniu </w:t>
      </w:r>
      <w:r w:rsidR="00455F79" w:rsidRPr="00B417EF">
        <w:rPr>
          <w:rFonts w:ascii="Times New Roman" w:hAnsi="Times New Roman" w:cs="Times New Roman"/>
          <w:sz w:val="24"/>
          <w:szCs w:val="24"/>
        </w:rPr>
        <w:t xml:space="preserve">przeważa </w:t>
      </w:r>
      <w:r w:rsidR="00A738C4" w:rsidRPr="00B417EF">
        <w:rPr>
          <w:rFonts w:ascii="Times New Roman" w:hAnsi="Times New Roman" w:cs="Times New Roman"/>
          <w:sz w:val="24"/>
          <w:szCs w:val="24"/>
        </w:rPr>
        <w:t>województwo ś</w:t>
      </w:r>
      <w:r w:rsidR="009F7E9C" w:rsidRPr="00B417EF">
        <w:rPr>
          <w:rFonts w:ascii="Times New Roman" w:hAnsi="Times New Roman" w:cs="Times New Roman"/>
          <w:sz w:val="24"/>
          <w:szCs w:val="24"/>
        </w:rPr>
        <w:t>więtokrzyskie (3,0</w:t>
      </w:r>
      <w:r w:rsidR="00455F79" w:rsidRPr="00B417EF">
        <w:rPr>
          <w:rFonts w:ascii="Times New Roman" w:hAnsi="Times New Roman" w:cs="Times New Roman"/>
          <w:sz w:val="24"/>
          <w:szCs w:val="24"/>
        </w:rPr>
        <w:t xml:space="preserve">%), zaś najniższym </w:t>
      </w:r>
      <w:r w:rsidR="00393722" w:rsidRPr="00B417EF">
        <w:rPr>
          <w:rFonts w:ascii="Times New Roman" w:hAnsi="Times New Roman" w:cs="Times New Roman"/>
          <w:sz w:val="24"/>
          <w:szCs w:val="24"/>
        </w:rPr>
        <w:t>udziałem</w:t>
      </w:r>
      <w:r w:rsidR="00455F79" w:rsidRPr="00B417EF">
        <w:rPr>
          <w:rFonts w:ascii="Times New Roman" w:hAnsi="Times New Roman" w:cs="Times New Roman"/>
          <w:sz w:val="24"/>
          <w:szCs w:val="24"/>
        </w:rPr>
        <w:t xml:space="preserve"> w tej mierze charaktery</w:t>
      </w:r>
      <w:r w:rsidR="002C13B4" w:rsidRPr="00B417EF">
        <w:rPr>
          <w:rFonts w:ascii="Times New Roman" w:hAnsi="Times New Roman" w:cs="Times New Roman"/>
          <w:sz w:val="24"/>
          <w:szCs w:val="24"/>
        </w:rPr>
        <w:t xml:space="preserve">zuje się województwo śląskie </w:t>
      </w:r>
      <w:r w:rsidR="00455F79" w:rsidRPr="00B417EF">
        <w:rPr>
          <w:rFonts w:ascii="Times New Roman" w:hAnsi="Times New Roman" w:cs="Times New Roman"/>
          <w:sz w:val="24"/>
          <w:szCs w:val="24"/>
        </w:rPr>
        <w:t xml:space="preserve">– </w:t>
      </w:r>
      <w:r w:rsidR="002C13B4" w:rsidRPr="00B417EF">
        <w:rPr>
          <w:rFonts w:ascii="Times New Roman" w:hAnsi="Times New Roman" w:cs="Times New Roman"/>
          <w:sz w:val="24"/>
          <w:szCs w:val="24"/>
        </w:rPr>
        <w:t>0,9</w:t>
      </w:r>
      <w:r w:rsidR="00455F79" w:rsidRPr="00B417EF">
        <w:rPr>
          <w:rFonts w:ascii="Times New Roman" w:hAnsi="Times New Roman" w:cs="Times New Roman"/>
          <w:sz w:val="24"/>
          <w:szCs w:val="24"/>
        </w:rPr>
        <w:t>%</w:t>
      </w:r>
      <w:r w:rsidR="002C13B4" w:rsidRPr="00B417EF">
        <w:rPr>
          <w:rFonts w:ascii="Times New Roman" w:hAnsi="Times New Roman" w:cs="Times New Roman"/>
          <w:sz w:val="24"/>
          <w:szCs w:val="24"/>
        </w:rPr>
        <w:t>. Sp</w:t>
      </w:r>
      <w:r w:rsidR="00965208" w:rsidRPr="00B417EF">
        <w:rPr>
          <w:rFonts w:ascii="Times New Roman" w:hAnsi="Times New Roman" w:cs="Times New Roman"/>
          <w:sz w:val="24"/>
          <w:szCs w:val="24"/>
        </w:rPr>
        <w:t>ośr</w:t>
      </w:r>
      <w:r w:rsidR="002C13B4" w:rsidRPr="00B417EF">
        <w:rPr>
          <w:rFonts w:ascii="Times New Roman" w:hAnsi="Times New Roman" w:cs="Times New Roman"/>
          <w:sz w:val="24"/>
          <w:szCs w:val="24"/>
        </w:rPr>
        <w:t>ó</w:t>
      </w:r>
      <w:r w:rsidR="00965208" w:rsidRPr="00B417EF">
        <w:rPr>
          <w:rFonts w:ascii="Times New Roman" w:hAnsi="Times New Roman" w:cs="Times New Roman"/>
          <w:sz w:val="24"/>
          <w:szCs w:val="24"/>
        </w:rPr>
        <w:t>d</w:t>
      </w:r>
      <w:r w:rsidR="002C13B4" w:rsidRPr="00B417EF">
        <w:rPr>
          <w:rFonts w:ascii="Times New Roman" w:hAnsi="Times New Roman" w:cs="Times New Roman"/>
          <w:sz w:val="24"/>
          <w:szCs w:val="24"/>
        </w:rPr>
        <w:t xml:space="preserve"> </w:t>
      </w:r>
      <w:r w:rsidRPr="00B417EF">
        <w:rPr>
          <w:rFonts w:ascii="Times New Roman" w:hAnsi="Times New Roman" w:cs="Times New Roman"/>
          <w:sz w:val="24"/>
          <w:szCs w:val="24"/>
        </w:rPr>
        <w:t xml:space="preserve">udziałów </w:t>
      </w:r>
      <w:r w:rsidR="002C13B4" w:rsidRPr="00B417EF">
        <w:rPr>
          <w:rFonts w:ascii="Times New Roman" w:hAnsi="Times New Roman" w:cs="Times New Roman"/>
          <w:sz w:val="24"/>
          <w:szCs w:val="24"/>
        </w:rPr>
        <w:t xml:space="preserve"> dojeżd</w:t>
      </w:r>
      <w:r w:rsidR="00965208" w:rsidRPr="00B417EF">
        <w:rPr>
          <w:rFonts w:ascii="Times New Roman" w:hAnsi="Times New Roman" w:cs="Times New Roman"/>
          <w:sz w:val="24"/>
          <w:szCs w:val="24"/>
        </w:rPr>
        <w:t>ża</w:t>
      </w:r>
      <w:r w:rsidR="002C13B4" w:rsidRPr="00B417EF">
        <w:rPr>
          <w:rFonts w:ascii="Times New Roman" w:hAnsi="Times New Roman" w:cs="Times New Roman"/>
          <w:sz w:val="24"/>
          <w:szCs w:val="24"/>
        </w:rPr>
        <w:t>j</w:t>
      </w:r>
      <w:r w:rsidR="00965208" w:rsidRPr="00B417EF">
        <w:rPr>
          <w:rFonts w:ascii="Times New Roman" w:hAnsi="Times New Roman" w:cs="Times New Roman"/>
          <w:sz w:val="24"/>
          <w:szCs w:val="24"/>
        </w:rPr>
        <w:t>ąc</w:t>
      </w:r>
      <w:r w:rsidR="002C13B4" w:rsidRPr="00B417EF">
        <w:rPr>
          <w:rFonts w:ascii="Times New Roman" w:hAnsi="Times New Roman" w:cs="Times New Roman"/>
          <w:sz w:val="24"/>
          <w:szCs w:val="24"/>
        </w:rPr>
        <w:t xml:space="preserve">ych </w:t>
      </w:r>
      <w:r w:rsidR="00965208" w:rsidRPr="00B417EF">
        <w:rPr>
          <w:rFonts w:ascii="Times New Roman" w:hAnsi="Times New Roman" w:cs="Times New Roman"/>
          <w:sz w:val="24"/>
          <w:szCs w:val="24"/>
        </w:rPr>
        <w:t>d</w:t>
      </w:r>
      <w:r w:rsidR="002C13B4" w:rsidRPr="00B417EF">
        <w:rPr>
          <w:rFonts w:ascii="Times New Roman" w:hAnsi="Times New Roman" w:cs="Times New Roman"/>
          <w:sz w:val="24"/>
          <w:szCs w:val="24"/>
        </w:rPr>
        <w:t>o gł</w:t>
      </w:r>
      <w:r w:rsidR="00965208" w:rsidRPr="00B417EF">
        <w:rPr>
          <w:rFonts w:ascii="Times New Roman" w:hAnsi="Times New Roman" w:cs="Times New Roman"/>
          <w:sz w:val="24"/>
          <w:szCs w:val="24"/>
        </w:rPr>
        <w:t>ó</w:t>
      </w:r>
      <w:r w:rsidR="002C13B4" w:rsidRPr="00B417EF">
        <w:rPr>
          <w:rFonts w:ascii="Times New Roman" w:hAnsi="Times New Roman" w:cs="Times New Roman"/>
          <w:sz w:val="24"/>
          <w:szCs w:val="24"/>
        </w:rPr>
        <w:t xml:space="preserve">wnego </w:t>
      </w:r>
      <w:r w:rsidR="00965208" w:rsidRPr="00B417EF">
        <w:rPr>
          <w:rFonts w:ascii="Times New Roman" w:hAnsi="Times New Roman" w:cs="Times New Roman"/>
          <w:sz w:val="24"/>
          <w:szCs w:val="24"/>
        </w:rPr>
        <w:t xml:space="preserve">miejsca pracy </w:t>
      </w:r>
      <w:r w:rsidR="002C13B4" w:rsidRPr="00B417EF">
        <w:rPr>
          <w:rFonts w:ascii="Times New Roman" w:hAnsi="Times New Roman" w:cs="Times New Roman"/>
          <w:sz w:val="24"/>
          <w:szCs w:val="24"/>
        </w:rPr>
        <w:t>raz na dwa tygo</w:t>
      </w:r>
      <w:r w:rsidR="00965208" w:rsidRPr="00B417EF">
        <w:rPr>
          <w:rFonts w:ascii="Times New Roman" w:hAnsi="Times New Roman" w:cs="Times New Roman"/>
          <w:sz w:val="24"/>
          <w:szCs w:val="24"/>
        </w:rPr>
        <w:t>dni</w:t>
      </w:r>
      <w:r w:rsidR="009F7E9C" w:rsidRPr="00B417EF">
        <w:rPr>
          <w:rFonts w:ascii="Times New Roman" w:hAnsi="Times New Roman" w:cs="Times New Roman"/>
          <w:sz w:val="24"/>
          <w:szCs w:val="24"/>
        </w:rPr>
        <w:t>e największy</w:t>
      </w:r>
      <w:r w:rsidR="002C13B4" w:rsidRPr="00B417EF">
        <w:rPr>
          <w:rFonts w:ascii="Times New Roman" w:hAnsi="Times New Roman" w:cs="Times New Roman"/>
          <w:sz w:val="24"/>
          <w:szCs w:val="24"/>
        </w:rPr>
        <w:t xml:space="preserve"> był w </w:t>
      </w:r>
      <w:r w:rsidR="00A738C4" w:rsidRPr="00B417EF">
        <w:rPr>
          <w:rFonts w:ascii="Times New Roman" w:hAnsi="Times New Roman" w:cs="Times New Roman"/>
          <w:sz w:val="24"/>
          <w:szCs w:val="24"/>
        </w:rPr>
        <w:t>województwie l</w:t>
      </w:r>
      <w:r w:rsidR="002C13B4" w:rsidRPr="00B417EF">
        <w:rPr>
          <w:rFonts w:ascii="Times New Roman" w:hAnsi="Times New Roman" w:cs="Times New Roman"/>
          <w:sz w:val="24"/>
          <w:szCs w:val="24"/>
        </w:rPr>
        <w:t>ubu</w:t>
      </w:r>
      <w:r w:rsidR="00A738C4" w:rsidRPr="00B417EF">
        <w:rPr>
          <w:rFonts w:ascii="Times New Roman" w:hAnsi="Times New Roman" w:cs="Times New Roman"/>
          <w:sz w:val="24"/>
          <w:szCs w:val="24"/>
        </w:rPr>
        <w:t>ski</w:t>
      </w:r>
      <w:r w:rsidR="009F7E9C" w:rsidRPr="00B417EF">
        <w:rPr>
          <w:rFonts w:ascii="Times New Roman" w:hAnsi="Times New Roman" w:cs="Times New Roman"/>
          <w:sz w:val="24"/>
          <w:szCs w:val="24"/>
        </w:rPr>
        <w:t>m (0,7</w:t>
      </w:r>
      <w:r w:rsidR="002C13B4" w:rsidRPr="00B417EF">
        <w:rPr>
          <w:rFonts w:ascii="Times New Roman" w:hAnsi="Times New Roman" w:cs="Times New Roman"/>
          <w:sz w:val="24"/>
          <w:szCs w:val="24"/>
        </w:rPr>
        <w:t>%), zaś najm</w:t>
      </w:r>
      <w:r w:rsidR="00965208" w:rsidRPr="00B417EF">
        <w:rPr>
          <w:rFonts w:ascii="Times New Roman" w:hAnsi="Times New Roman" w:cs="Times New Roman"/>
          <w:sz w:val="24"/>
          <w:szCs w:val="24"/>
        </w:rPr>
        <w:t>ni</w:t>
      </w:r>
      <w:r w:rsidR="00A738C4" w:rsidRPr="00B417EF">
        <w:rPr>
          <w:rFonts w:ascii="Times New Roman" w:hAnsi="Times New Roman" w:cs="Times New Roman"/>
          <w:sz w:val="24"/>
          <w:szCs w:val="24"/>
        </w:rPr>
        <w:t>ejszy – 0,2% – w województwie ś</w:t>
      </w:r>
      <w:r w:rsidR="002C13B4" w:rsidRPr="00B417EF">
        <w:rPr>
          <w:rFonts w:ascii="Times New Roman" w:hAnsi="Times New Roman" w:cs="Times New Roman"/>
          <w:sz w:val="24"/>
          <w:szCs w:val="24"/>
        </w:rPr>
        <w:t>lą</w:t>
      </w:r>
      <w:r w:rsidR="00A738C4" w:rsidRPr="00B417EF">
        <w:rPr>
          <w:rFonts w:ascii="Times New Roman" w:hAnsi="Times New Roman" w:cs="Times New Roman"/>
          <w:sz w:val="24"/>
          <w:szCs w:val="24"/>
        </w:rPr>
        <w:t>skim</w:t>
      </w:r>
      <w:r w:rsidR="002C13B4" w:rsidRPr="00B417EF">
        <w:rPr>
          <w:rFonts w:ascii="Times New Roman" w:hAnsi="Times New Roman" w:cs="Times New Roman"/>
          <w:sz w:val="24"/>
          <w:szCs w:val="24"/>
        </w:rPr>
        <w:t>.</w:t>
      </w:r>
      <w:r w:rsidR="004B1E80" w:rsidRPr="00B417EF">
        <w:rPr>
          <w:rFonts w:ascii="Times New Roman" w:hAnsi="Times New Roman" w:cs="Times New Roman"/>
          <w:sz w:val="24"/>
          <w:szCs w:val="24"/>
        </w:rPr>
        <w:t xml:space="preserve"> Także w </w:t>
      </w:r>
      <w:r w:rsidR="00A738C4" w:rsidRPr="00B417EF">
        <w:rPr>
          <w:rFonts w:ascii="Times New Roman" w:hAnsi="Times New Roman" w:cs="Times New Roman"/>
          <w:sz w:val="24"/>
          <w:szCs w:val="24"/>
        </w:rPr>
        <w:t>województwie l</w:t>
      </w:r>
      <w:r w:rsidR="00965208" w:rsidRPr="00B417EF">
        <w:rPr>
          <w:rFonts w:ascii="Times New Roman" w:hAnsi="Times New Roman" w:cs="Times New Roman"/>
          <w:sz w:val="24"/>
          <w:szCs w:val="24"/>
        </w:rPr>
        <w:t>u</w:t>
      </w:r>
      <w:r w:rsidR="004B1E80" w:rsidRPr="00B417EF">
        <w:rPr>
          <w:rFonts w:ascii="Times New Roman" w:hAnsi="Times New Roman" w:cs="Times New Roman"/>
          <w:sz w:val="24"/>
          <w:szCs w:val="24"/>
        </w:rPr>
        <w:t>bu</w:t>
      </w:r>
      <w:r w:rsidR="00A738C4" w:rsidRPr="00B417EF">
        <w:rPr>
          <w:rFonts w:ascii="Times New Roman" w:hAnsi="Times New Roman" w:cs="Times New Roman"/>
          <w:sz w:val="24"/>
          <w:szCs w:val="24"/>
        </w:rPr>
        <w:t>ski</w:t>
      </w:r>
      <w:r w:rsidR="004B1E80" w:rsidRPr="00B417EF">
        <w:rPr>
          <w:rFonts w:ascii="Times New Roman" w:hAnsi="Times New Roman" w:cs="Times New Roman"/>
          <w:sz w:val="24"/>
          <w:szCs w:val="24"/>
        </w:rPr>
        <w:t xml:space="preserve">m najwięcej </w:t>
      </w:r>
      <w:r w:rsidRPr="00B417EF">
        <w:rPr>
          <w:rFonts w:ascii="Times New Roman" w:hAnsi="Times New Roman" w:cs="Times New Roman"/>
          <w:sz w:val="24"/>
          <w:szCs w:val="24"/>
        </w:rPr>
        <w:t>w tym wymiarze</w:t>
      </w:r>
      <w:r w:rsidR="004B1E80" w:rsidRPr="00B417EF">
        <w:rPr>
          <w:rFonts w:ascii="Times New Roman" w:hAnsi="Times New Roman" w:cs="Times New Roman"/>
          <w:sz w:val="24"/>
          <w:szCs w:val="24"/>
        </w:rPr>
        <w:t xml:space="preserve"> </w:t>
      </w:r>
      <w:r w:rsidR="009F7E9C" w:rsidRPr="00B417EF">
        <w:rPr>
          <w:rFonts w:ascii="Times New Roman" w:hAnsi="Times New Roman" w:cs="Times New Roman"/>
          <w:sz w:val="24"/>
          <w:szCs w:val="24"/>
        </w:rPr>
        <w:t>(0,5%)</w:t>
      </w:r>
      <w:r w:rsidR="004B1E80" w:rsidRPr="00B417EF">
        <w:rPr>
          <w:rFonts w:ascii="Times New Roman" w:hAnsi="Times New Roman" w:cs="Times New Roman"/>
          <w:sz w:val="24"/>
          <w:szCs w:val="24"/>
        </w:rPr>
        <w:t xml:space="preserve"> osób dojeżdżało do pr</w:t>
      </w:r>
      <w:r w:rsidR="00965208" w:rsidRPr="00B417EF">
        <w:rPr>
          <w:rFonts w:ascii="Times New Roman" w:hAnsi="Times New Roman" w:cs="Times New Roman"/>
          <w:sz w:val="24"/>
          <w:szCs w:val="24"/>
        </w:rPr>
        <w:t>a</w:t>
      </w:r>
      <w:r w:rsidR="004B1E80" w:rsidRPr="00B417EF">
        <w:rPr>
          <w:rFonts w:ascii="Times New Roman" w:hAnsi="Times New Roman" w:cs="Times New Roman"/>
          <w:sz w:val="24"/>
          <w:szCs w:val="24"/>
        </w:rPr>
        <w:t>cy raz w mie</w:t>
      </w:r>
      <w:r w:rsidR="00A738C4" w:rsidRPr="00B417EF">
        <w:rPr>
          <w:rFonts w:ascii="Times New Roman" w:hAnsi="Times New Roman" w:cs="Times New Roman"/>
          <w:sz w:val="24"/>
          <w:szCs w:val="24"/>
        </w:rPr>
        <w:t>s</w:t>
      </w:r>
      <w:r w:rsidR="004B1E80" w:rsidRPr="00B417EF">
        <w:rPr>
          <w:rFonts w:ascii="Times New Roman" w:hAnsi="Times New Roman" w:cs="Times New Roman"/>
          <w:sz w:val="24"/>
          <w:szCs w:val="24"/>
        </w:rPr>
        <w:t>iącu</w:t>
      </w:r>
      <w:r w:rsidR="00581E5A" w:rsidRPr="00B417EF">
        <w:rPr>
          <w:rFonts w:ascii="Times New Roman" w:hAnsi="Times New Roman" w:cs="Times New Roman"/>
          <w:sz w:val="24"/>
          <w:szCs w:val="24"/>
        </w:rPr>
        <w:t>,  najmniej zaś – 0,</w:t>
      </w:r>
      <w:r w:rsidR="009F7E9C" w:rsidRPr="00B417EF">
        <w:rPr>
          <w:rFonts w:ascii="Times New Roman" w:hAnsi="Times New Roman" w:cs="Times New Roman"/>
          <w:sz w:val="24"/>
          <w:szCs w:val="24"/>
        </w:rPr>
        <w:t>1% –</w:t>
      </w:r>
      <w:r w:rsidR="00A738C4" w:rsidRPr="00B417EF">
        <w:rPr>
          <w:rFonts w:ascii="Times New Roman" w:hAnsi="Times New Roman" w:cs="Times New Roman"/>
          <w:sz w:val="24"/>
          <w:szCs w:val="24"/>
        </w:rPr>
        <w:t xml:space="preserve"> w województwie ś</w:t>
      </w:r>
      <w:r w:rsidR="004B1E80" w:rsidRPr="00B417EF">
        <w:rPr>
          <w:rFonts w:ascii="Times New Roman" w:hAnsi="Times New Roman" w:cs="Times New Roman"/>
          <w:sz w:val="24"/>
          <w:szCs w:val="24"/>
        </w:rPr>
        <w:t>l</w:t>
      </w:r>
      <w:r w:rsidR="00965208" w:rsidRPr="00B417EF">
        <w:rPr>
          <w:rFonts w:ascii="Times New Roman" w:hAnsi="Times New Roman" w:cs="Times New Roman"/>
          <w:sz w:val="24"/>
          <w:szCs w:val="24"/>
        </w:rPr>
        <w:t>ą</w:t>
      </w:r>
      <w:r w:rsidR="004B1E80" w:rsidRPr="00B417EF">
        <w:rPr>
          <w:rFonts w:ascii="Times New Roman" w:hAnsi="Times New Roman" w:cs="Times New Roman"/>
          <w:sz w:val="24"/>
          <w:szCs w:val="24"/>
        </w:rPr>
        <w:t>sk</w:t>
      </w:r>
      <w:r w:rsidR="00A738C4" w:rsidRPr="00B417EF">
        <w:rPr>
          <w:rFonts w:ascii="Times New Roman" w:hAnsi="Times New Roman" w:cs="Times New Roman"/>
          <w:sz w:val="24"/>
          <w:szCs w:val="24"/>
        </w:rPr>
        <w:t>im</w:t>
      </w:r>
      <w:r w:rsidR="004D48A0" w:rsidRPr="00B417EF">
        <w:rPr>
          <w:rFonts w:ascii="Times New Roman" w:hAnsi="Times New Roman" w:cs="Times New Roman"/>
          <w:sz w:val="24"/>
          <w:szCs w:val="24"/>
        </w:rPr>
        <w:t xml:space="preserve">. </w:t>
      </w:r>
      <w:r w:rsidRPr="00B417EF">
        <w:rPr>
          <w:rFonts w:ascii="Times New Roman" w:hAnsi="Times New Roman" w:cs="Times New Roman"/>
          <w:sz w:val="24"/>
          <w:szCs w:val="24"/>
        </w:rPr>
        <w:t>Udział</w:t>
      </w:r>
      <w:r w:rsidR="004B1E80" w:rsidRPr="00B417EF">
        <w:rPr>
          <w:rFonts w:ascii="Times New Roman" w:hAnsi="Times New Roman" w:cs="Times New Roman"/>
          <w:sz w:val="24"/>
          <w:szCs w:val="24"/>
        </w:rPr>
        <w:t xml:space="preserve"> dojeżd</w:t>
      </w:r>
      <w:r w:rsidR="00965208" w:rsidRPr="00B417EF">
        <w:rPr>
          <w:rFonts w:ascii="Times New Roman" w:hAnsi="Times New Roman" w:cs="Times New Roman"/>
          <w:sz w:val="24"/>
          <w:szCs w:val="24"/>
        </w:rPr>
        <w:t>ż</w:t>
      </w:r>
      <w:r w:rsidR="004B1E80" w:rsidRPr="00B417EF">
        <w:rPr>
          <w:rFonts w:ascii="Times New Roman" w:hAnsi="Times New Roman" w:cs="Times New Roman"/>
          <w:sz w:val="24"/>
          <w:szCs w:val="24"/>
        </w:rPr>
        <w:t>aj</w:t>
      </w:r>
      <w:r w:rsidR="00965208" w:rsidRPr="00B417EF">
        <w:rPr>
          <w:rFonts w:ascii="Times New Roman" w:hAnsi="Times New Roman" w:cs="Times New Roman"/>
          <w:sz w:val="24"/>
          <w:szCs w:val="24"/>
        </w:rPr>
        <w:t>ąc</w:t>
      </w:r>
      <w:r w:rsidR="004B1E80" w:rsidRPr="00B417EF">
        <w:rPr>
          <w:rFonts w:ascii="Times New Roman" w:hAnsi="Times New Roman" w:cs="Times New Roman"/>
          <w:sz w:val="24"/>
          <w:szCs w:val="24"/>
        </w:rPr>
        <w:t>ych najr</w:t>
      </w:r>
      <w:r w:rsidR="00965208" w:rsidRPr="00B417EF">
        <w:rPr>
          <w:rFonts w:ascii="Times New Roman" w:hAnsi="Times New Roman" w:cs="Times New Roman"/>
          <w:sz w:val="24"/>
          <w:szCs w:val="24"/>
        </w:rPr>
        <w:t>z</w:t>
      </w:r>
      <w:r w:rsidR="004B1E80" w:rsidRPr="00B417EF">
        <w:rPr>
          <w:rFonts w:ascii="Times New Roman" w:hAnsi="Times New Roman" w:cs="Times New Roman"/>
          <w:sz w:val="24"/>
          <w:szCs w:val="24"/>
        </w:rPr>
        <w:t>adziej (rzadziej ni</w:t>
      </w:r>
      <w:r w:rsidR="00965208" w:rsidRPr="00B417EF">
        <w:rPr>
          <w:rFonts w:ascii="Times New Roman" w:hAnsi="Times New Roman" w:cs="Times New Roman"/>
          <w:sz w:val="24"/>
          <w:szCs w:val="24"/>
        </w:rPr>
        <w:t xml:space="preserve">ż </w:t>
      </w:r>
      <w:r w:rsidR="004B1E80" w:rsidRPr="00B417EF">
        <w:rPr>
          <w:rFonts w:ascii="Times New Roman" w:hAnsi="Times New Roman" w:cs="Times New Roman"/>
          <w:sz w:val="24"/>
          <w:szCs w:val="24"/>
        </w:rPr>
        <w:t>raz w</w:t>
      </w:r>
      <w:r w:rsidR="00816A59">
        <w:rPr>
          <w:rFonts w:ascii="Times New Roman" w:hAnsi="Times New Roman" w:cs="Times New Roman"/>
          <w:sz w:val="24"/>
          <w:szCs w:val="24"/>
        </w:rPr>
        <w:t> </w:t>
      </w:r>
      <w:r w:rsidR="004B1E80" w:rsidRPr="00B417EF">
        <w:rPr>
          <w:rFonts w:ascii="Times New Roman" w:hAnsi="Times New Roman" w:cs="Times New Roman"/>
          <w:sz w:val="24"/>
          <w:szCs w:val="24"/>
        </w:rPr>
        <w:t>miesi</w:t>
      </w:r>
      <w:r w:rsidR="00965208" w:rsidRPr="00B417EF">
        <w:rPr>
          <w:rFonts w:ascii="Times New Roman" w:hAnsi="Times New Roman" w:cs="Times New Roman"/>
          <w:sz w:val="24"/>
          <w:szCs w:val="24"/>
        </w:rPr>
        <w:t>ą</w:t>
      </w:r>
      <w:r w:rsidR="004B1E80" w:rsidRPr="00B417EF">
        <w:rPr>
          <w:rFonts w:ascii="Times New Roman" w:hAnsi="Times New Roman" w:cs="Times New Roman"/>
          <w:sz w:val="24"/>
          <w:szCs w:val="24"/>
        </w:rPr>
        <w:t>cu) był we wszystkich woje</w:t>
      </w:r>
      <w:r w:rsidR="00965208" w:rsidRPr="00B417EF">
        <w:rPr>
          <w:rFonts w:ascii="Times New Roman" w:hAnsi="Times New Roman" w:cs="Times New Roman"/>
          <w:sz w:val="24"/>
          <w:szCs w:val="24"/>
        </w:rPr>
        <w:t>wó</w:t>
      </w:r>
      <w:r w:rsidR="004B1E80" w:rsidRPr="00B417EF">
        <w:rPr>
          <w:rFonts w:ascii="Times New Roman" w:hAnsi="Times New Roman" w:cs="Times New Roman"/>
          <w:sz w:val="24"/>
          <w:szCs w:val="24"/>
        </w:rPr>
        <w:t>dztw</w:t>
      </w:r>
      <w:r w:rsidR="00965208" w:rsidRPr="00B417EF">
        <w:rPr>
          <w:rFonts w:ascii="Times New Roman" w:hAnsi="Times New Roman" w:cs="Times New Roman"/>
          <w:sz w:val="24"/>
          <w:szCs w:val="24"/>
        </w:rPr>
        <w:t>a</w:t>
      </w:r>
      <w:r w:rsidR="004D48A0" w:rsidRPr="00B417EF">
        <w:rPr>
          <w:rFonts w:ascii="Times New Roman" w:hAnsi="Times New Roman" w:cs="Times New Roman"/>
          <w:sz w:val="24"/>
          <w:szCs w:val="24"/>
        </w:rPr>
        <w:t>ch (poza z</w:t>
      </w:r>
      <w:r w:rsidR="004B1E80" w:rsidRPr="00B417EF">
        <w:rPr>
          <w:rFonts w:ascii="Times New Roman" w:hAnsi="Times New Roman" w:cs="Times New Roman"/>
          <w:sz w:val="24"/>
          <w:szCs w:val="24"/>
        </w:rPr>
        <w:t>achodniopomo</w:t>
      </w:r>
      <w:r w:rsidR="00965208" w:rsidRPr="00B417EF">
        <w:rPr>
          <w:rFonts w:ascii="Times New Roman" w:hAnsi="Times New Roman" w:cs="Times New Roman"/>
          <w:sz w:val="24"/>
          <w:szCs w:val="24"/>
        </w:rPr>
        <w:t>rs</w:t>
      </w:r>
      <w:r w:rsidR="004B1E80" w:rsidRPr="00B417EF">
        <w:rPr>
          <w:rFonts w:ascii="Times New Roman" w:hAnsi="Times New Roman" w:cs="Times New Roman"/>
          <w:sz w:val="24"/>
          <w:szCs w:val="24"/>
        </w:rPr>
        <w:t xml:space="preserve">kim – 0,3%) </w:t>
      </w:r>
      <w:r w:rsidR="0007743E" w:rsidRPr="00B417EF">
        <w:rPr>
          <w:rFonts w:ascii="Times New Roman" w:hAnsi="Times New Roman" w:cs="Times New Roman"/>
          <w:sz w:val="24"/>
          <w:szCs w:val="24"/>
        </w:rPr>
        <w:t xml:space="preserve">praktycznie </w:t>
      </w:r>
      <w:r w:rsidR="004B1E80" w:rsidRPr="00B417EF">
        <w:rPr>
          <w:rFonts w:ascii="Times New Roman" w:hAnsi="Times New Roman" w:cs="Times New Roman"/>
          <w:sz w:val="24"/>
          <w:szCs w:val="24"/>
        </w:rPr>
        <w:t xml:space="preserve">jednakowy i wyniósł 0,1%.   </w:t>
      </w:r>
    </w:p>
    <w:p w:rsidR="00824DAC" w:rsidRPr="00F72B2E" w:rsidRDefault="00455F79" w:rsidP="00F72B2E">
      <w:pPr>
        <w:pStyle w:val="tekstgl"/>
        <w:spacing w:after="0" w:line="360" w:lineRule="auto"/>
        <w:ind w:firstLine="709"/>
        <w:rPr>
          <w:rFonts w:ascii="Times New Roman" w:hAnsi="Times New Roman" w:cs="Times New Roman"/>
          <w:sz w:val="24"/>
          <w:szCs w:val="24"/>
        </w:rPr>
      </w:pPr>
      <w:r w:rsidRPr="00F72B2E">
        <w:rPr>
          <w:rFonts w:ascii="Times New Roman" w:hAnsi="Times New Roman" w:cs="Times New Roman"/>
          <w:sz w:val="24"/>
          <w:szCs w:val="24"/>
        </w:rPr>
        <w:t xml:space="preserve">W strukturze dojeżdżających według płci widać dominację mężczyzn w każdej kategorii – </w:t>
      </w:r>
      <w:r w:rsidR="00FE50E9" w:rsidRPr="00F72B2E">
        <w:rPr>
          <w:rFonts w:ascii="Times New Roman" w:hAnsi="Times New Roman" w:cs="Times New Roman"/>
          <w:sz w:val="24"/>
          <w:szCs w:val="24"/>
        </w:rPr>
        <w:t>na 100 mężczyzn przypadało od 27</w:t>
      </w:r>
      <w:r w:rsidRPr="00F72B2E">
        <w:rPr>
          <w:rFonts w:ascii="Times New Roman" w:hAnsi="Times New Roman" w:cs="Times New Roman"/>
          <w:sz w:val="24"/>
          <w:szCs w:val="24"/>
        </w:rPr>
        <w:t xml:space="preserve"> (</w:t>
      </w:r>
      <w:r w:rsidR="00FE50E9" w:rsidRPr="00F72B2E">
        <w:rPr>
          <w:rFonts w:ascii="Times New Roman" w:hAnsi="Times New Roman" w:cs="Times New Roman"/>
          <w:sz w:val="24"/>
          <w:szCs w:val="24"/>
        </w:rPr>
        <w:t>dojazd do pr</w:t>
      </w:r>
      <w:r w:rsidR="00965208" w:rsidRPr="00F72B2E">
        <w:rPr>
          <w:rFonts w:ascii="Times New Roman" w:hAnsi="Times New Roman" w:cs="Times New Roman"/>
          <w:sz w:val="24"/>
          <w:szCs w:val="24"/>
        </w:rPr>
        <w:t>a</w:t>
      </w:r>
      <w:r w:rsidR="00FE50E9" w:rsidRPr="00F72B2E">
        <w:rPr>
          <w:rFonts w:ascii="Times New Roman" w:hAnsi="Times New Roman" w:cs="Times New Roman"/>
          <w:sz w:val="24"/>
          <w:szCs w:val="24"/>
        </w:rPr>
        <w:t>cy raz w tyg</w:t>
      </w:r>
      <w:r w:rsidR="00965208" w:rsidRPr="00F72B2E">
        <w:rPr>
          <w:rFonts w:ascii="Times New Roman" w:hAnsi="Times New Roman" w:cs="Times New Roman"/>
          <w:sz w:val="24"/>
          <w:szCs w:val="24"/>
        </w:rPr>
        <w:t>o</w:t>
      </w:r>
      <w:r w:rsidR="004D48A0" w:rsidRPr="00F72B2E">
        <w:rPr>
          <w:rFonts w:ascii="Times New Roman" w:hAnsi="Times New Roman" w:cs="Times New Roman"/>
          <w:sz w:val="24"/>
          <w:szCs w:val="24"/>
        </w:rPr>
        <w:t xml:space="preserve">dniu lub </w:t>
      </w:r>
      <w:r w:rsidR="008414B8" w:rsidRPr="00F72B2E">
        <w:rPr>
          <w:rFonts w:ascii="Times New Roman" w:hAnsi="Times New Roman" w:cs="Times New Roman"/>
          <w:sz w:val="24"/>
          <w:szCs w:val="24"/>
        </w:rPr>
        <w:t xml:space="preserve">raz </w:t>
      </w:r>
      <w:r w:rsidR="00FE50E9" w:rsidRPr="00F72B2E">
        <w:rPr>
          <w:rFonts w:ascii="Times New Roman" w:hAnsi="Times New Roman" w:cs="Times New Roman"/>
          <w:sz w:val="24"/>
          <w:szCs w:val="24"/>
        </w:rPr>
        <w:t>na dwa ty</w:t>
      </w:r>
      <w:r w:rsidR="00965208" w:rsidRPr="00F72B2E">
        <w:rPr>
          <w:rFonts w:ascii="Times New Roman" w:hAnsi="Times New Roman" w:cs="Times New Roman"/>
          <w:sz w:val="24"/>
          <w:szCs w:val="24"/>
        </w:rPr>
        <w:t>god</w:t>
      </w:r>
      <w:r w:rsidR="00FE50E9" w:rsidRPr="00F72B2E">
        <w:rPr>
          <w:rFonts w:ascii="Times New Roman" w:hAnsi="Times New Roman" w:cs="Times New Roman"/>
          <w:sz w:val="24"/>
          <w:szCs w:val="24"/>
        </w:rPr>
        <w:t>nie</w:t>
      </w:r>
      <w:r w:rsidRPr="00F72B2E">
        <w:rPr>
          <w:rFonts w:ascii="Times New Roman" w:hAnsi="Times New Roman" w:cs="Times New Roman"/>
          <w:sz w:val="24"/>
          <w:szCs w:val="24"/>
        </w:rPr>
        <w:t>) do 84 kobiet (</w:t>
      </w:r>
      <w:r w:rsidR="00FE50E9" w:rsidRPr="00F72B2E">
        <w:rPr>
          <w:rFonts w:ascii="Times New Roman" w:hAnsi="Times New Roman" w:cs="Times New Roman"/>
          <w:sz w:val="24"/>
          <w:szCs w:val="24"/>
        </w:rPr>
        <w:t>dojazd częściej niż raz w</w:t>
      </w:r>
      <w:r w:rsidR="00965208" w:rsidRPr="00F72B2E">
        <w:rPr>
          <w:rFonts w:ascii="Times New Roman" w:hAnsi="Times New Roman" w:cs="Times New Roman"/>
          <w:sz w:val="24"/>
          <w:szCs w:val="24"/>
        </w:rPr>
        <w:t xml:space="preserve"> </w:t>
      </w:r>
      <w:r w:rsidR="00FE50E9" w:rsidRPr="00F72B2E">
        <w:rPr>
          <w:rFonts w:ascii="Times New Roman" w:hAnsi="Times New Roman" w:cs="Times New Roman"/>
          <w:sz w:val="24"/>
          <w:szCs w:val="24"/>
        </w:rPr>
        <w:t>tygodniu ale nie co</w:t>
      </w:r>
      <w:r w:rsidR="00F85190" w:rsidRPr="00F72B2E">
        <w:rPr>
          <w:rFonts w:ascii="Times New Roman" w:hAnsi="Times New Roman" w:cs="Times New Roman"/>
          <w:sz w:val="24"/>
          <w:szCs w:val="24"/>
        </w:rPr>
        <w:t>dziennie</w:t>
      </w:r>
      <w:r w:rsidRPr="00F72B2E">
        <w:rPr>
          <w:rFonts w:ascii="Times New Roman" w:hAnsi="Times New Roman" w:cs="Times New Roman"/>
          <w:sz w:val="24"/>
          <w:szCs w:val="24"/>
        </w:rPr>
        <w:t xml:space="preserve">). Rozkład tego </w:t>
      </w:r>
      <w:r w:rsidR="00767B9F" w:rsidRPr="00F72B2E">
        <w:rPr>
          <w:rFonts w:ascii="Times New Roman" w:hAnsi="Times New Roman" w:cs="Times New Roman"/>
          <w:sz w:val="24"/>
          <w:szCs w:val="24"/>
        </w:rPr>
        <w:t xml:space="preserve">wskaźnika </w:t>
      </w:r>
      <w:r w:rsidRPr="00F72B2E">
        <w:rPr>
          <w:rFonts w:ascii="Times New Roman" w:hAnsi="Times New Roman" w:cs="Times New Roman"/>
          <w:sz w:val="24"/>
          <w:szCs w:val="24"/>
        </w:rPr>
        <w:t xml:space="preserve">w województwach w ramach każdej kategorii </w:t>
      </w:r>
      <w:r w:rsidR="00FE50E9" w:rsidRPr="00F72B2E">
        <w:rPr>
          <w:rFonts w:ascii="Times New Roman" w:hAnsi="Times New Roman" w:cs="Times New Roman"/>
          <w:sz w:val="24"/>
          <w:szCs w:val="24"/>
        </w:rPr>
        <w:t>także okazał się</w:t>
      </w:r>
      <w:r w:rsidRPr="00F72B2E">
        <w:rPr>
          <w:rFonts w:ascii="Times New Roman" w:hAnsi="Times New Roman" w:cs="Times New Roman"/>
          <w:sz w:val="24"/>
          <w:szCs w:val="24"/>
        </w:rPr>
        <w:t xml:space="preserve"> raczej równomierny i podobny (choć zdarzają się i znaczniejsze różnice – np. dla dojeżdżających </w:t>
      </w:r>
      <w:r w:rsidR="00F845E7" w:rsidRPr="00F72B2E">
        <w:rPr>
          <w:rFonts w:ascii="Times New Roman" w:hAnsi="Times New Roman" w:cs="Times New Roman"/>
          <w:sz w:val="24"/>
          <w:szCs w:val="24"/>
        </w:rPr>
        <w:t>raz w mie</w:t>
      </w:r>
      <w:r w:rsidR="00965208" w:rsidRPr="00F72B2E">
        <w:rPr>
          <w:rFonts w:ascii="Times New Roman" w:hAnsi="Times New Roman" w:cs="Times New Roman"/>
          <w:sz w:val="24"/>
          <w:szCs w:val="24"/>
        </w:rPr>
        <w:t>s</w:t>
      </w:r>
      <w:r w:rsidR="00F845E7" w:rsidRPr="00F72B2E">
        <w:rPr>
          <w:rFonts w:ascii="Times New Roman" w:hAnsi="Times New Roman" w:cs="Times New Roman"/>
          <w:sz w:val="24"/>
          <w:szCs w:val="24"/>
        </w:rPr>
        <w:t>i</w:t>
      </w:r>
      <w:r w:rsidR="00965208" w:rsidRPr="00F72B2E">
        <w:rPr>
          <w:rFonts w:ascii="Times New Roman" w:hAnsi="Times New Roman" w:cs="Times New Roman"/>
          <w:sz w:val="24"/>
          <w:szCs w:val="24"/>
        </w:rPr>
        <w:t>ą</w:t>
      </w:r>
      <w:r w:rsidR="00F845E7" w:rsidRPr="00F72B2E">
        <w:rPr>
          <w:rFonts w:ascii="Times New Roman" w:hAnsi="Times New Roman" w:cs="Times New Roman"/>
          <w:sz w:val="24"/>
          <w:szCs w:val="24"/>
        </w:rPr>
        <w:t xml:space="preserve">cu w </w:t>
      </w:r>
      <w:r w:rsidR="00A738C4" w:rsidRPr="00F72B2E">
        <w:rPr>
          <w:rFonts w:ascii="Times New Roman" w:hAnsi="Times New Roman" w:cs="Times New Roman"/>
          <w:sz w:val="24"/>
          <w:szCs w:val="24"/>
        </w:rPr>
        <w:t>województwie m</w:t>
      </w:r>
      <w:r w:rsidR="00F845E7" w:rsidRPr="00F72B2E">
        <w:rPr>
          <w:rFonts w:ascii="Times New Roman" w:hAnsi="Times New Roman" w:cs="Times New Roman"/>
          <w:sz w:val="24"/>
          <w:szCs w:val="24"/>
        </w:rPr>
        <w:t>a</w:t>
      </w:r>
      <w:r w:rsidR="00A24754" w:rsidRPr="00F72B2E">
        <w:rPr>
          <w:rFonts w:ascii="Times New Roman" w:hAnsi="Times New Roman" w:cs="Times New Roman"/>
          <w:sz w:val="24"/>
          <w:szCs w:val="24"/>
        </w:rPr>
        <w:t>zowieckim</w:t>
      </w:r>
      <w:r w:rsidR="00F845E7" w:rsidRPr="00F72B2E">
        <w:rPr>
          <w:rFonts w:ascii="Times New Roman" w:hAnsi="Times New Roman" w:cs="Times New Roman"/>
          <w:sz w:val="24"/>
          <w:szCs w:val="24"/>
        </w:rPr>
        <w:t xml:space="preserve"> </w:t>
      </w:r>
      <w:r w:rsidRPr="00F72B2E">
        <w:rPr>
          <w:rFonts w:ascii="Times New Roman" w:hAnsi="Times New Roman" w:cs="Times New Roman"/>
          <w:sz w:val="24"/>
          <w:szCs w:val="24"/>
        </w:rPr>
        <w:t xml:space="preserve">na 100 mężczyzn przypada </w:t>
      </w:r>
      <w:r w:rsidR="00F845E7" w:rsidRPr="00F72B2E">
        <w:rPr>
          <w:rFonts w:ascii="Times New Roman" w:hAnsi="Times New Roman" w:cs="Times New Roman"/>
          <w:sz w:val="24"/>
          <w:szCs w:val="24"/>
        </w:rPr>
        <w:t>66</w:t>
      </w:r>
      <w:r w:rsidRPr="00F72B2E">
        <w:rPr>
          <w:rFonts w:ascii="Times New Roman" w:hAnsi="Times New Roman" w:cs="Times New Roman"/>
          <w:sz w:val="24"/>
          <w:szCs w:val="24"/>
        </w:rPr>
        <w:t xml:space="preserve"> kobiet, podczas gdy </w:t>
      </w:r>
      <w:r w:rsidR="00A738C4" w:rsidRPr="00F72B2E">
        <w:rPr>
          <w:rFonts w:ascii="Times New Roman" w:hAnsi="Times New Roman" w:cs="Times New Roman"/>
          <w:sz w:val="24"/>
          <w:szCs w:val="24"/>
        </w:rPr>
        <w:t>w województw</w:t>
      </w:r>
      <w:r w:rsidR="00A55E44" w:rsidRPr="00F72B2E">
        <w:rPr>
          <w:rFonts w:ascii="Times New Roman" w:hAnsi="Times New Roman" w:cs="Times New Roman"/>
          <w:sz w:val="24"/>
          <w:szCs w:val="24"/>
        </w:rPr>
        <w:t>ach:</w:t>
      </w:r>
      <w:r w:rsidR="00A738C4" w:rsidRPr="00F72B2E">
        <w:rPr>
          <w:rFonts w:ascii="Times New Roman" w:hAnsi="Times New Roman" w:cs="Times New Roman"/>
          <w:sz w:val="24"/>
          <w:szCs w:val="24"/>
        </w:rPr>
        <w:t xml:space="preserve"> </w:t>
      </w:r>
      <w:r w:rsidR="0053270D" w:rsidRPr="00F72B2E">
        <w:rPr>
          <w:rFonts w:ascii="Times New Roman" w:hAnsi="Times New Roman" w:cs="Times New Roman"/>
          <w:sz w:val="24"/>
          <w:szCs w:val="24"/>
        </w:rPr>
        <w:t xml:space="preserve">lubuskim </w:t>
      </w:r>
      <w:r w:rsidR="00A55E44" w:rsidRPr="00F72B2E">
        <w:rPr>
          <w:rFonts w:ascii="Times New Roman" w:hAnsi="Times New Roman" w:cs="Times New Roman"/>
          <w:sz w:val="24"/>
          <w:szCs w:val="24"/>
        </w:rPr>
        <w:t xml:space="preserve">i </w:t>
      </w:r>
      <w:r w:rsidR="001654FF" w:rsidRPr="00F72B2E">
        <w:rPr>
          <w:rFonts w:ascii="Times New Roman" w:hAnsi="Times New Roman" w:cs="Times New Roman"/>
          <w:sz w:val="24"/>
          <w:szCs w:val="24"/>
        </w:rPr>
        <w:t xml:space="preserve">podkarpackim </w:t>
      </w:r>
      <w:r w:rsidR="00F845E7" w:rsidRPr="00F72B2E">
        <w:rPr>
          <w:rFonts w:ascii="Times New Roman" w:hAnsi="Times New Roman" w:cs="Times New Roman"/>
          <w:sz w:val="24"/>
          <w:szCs w:val="24"/>
        </w:rPr>
        <w:t>–</w:t>
      </w:r>
      <w:r w:rsidR="00A55E44" w:rsidRPr="00F72B2E">
        <w:rPr>
          <w:rFonts w:ascii="Times New Roman" w:hAnsi="Times New Roman" w:cs="Times New Roman"/>
          <w:sz w:val="24"/>
          <w:szCs w:val="24"/>
        </w:rPr>
        <w:t xml:space="preserve"> po</w:t>
      </w:r>
      <w:r w:rsidR="00F845E7" w:rsidRPr="00F72B2E">
        <w:rPr>
          <w:rFonts w:ascii="Times New Roman" w:hAnsi="Times New Roman" w:cs="Times New Roman"/>
          <w:sz w:val="24"/>
          <w:szCs w:val="24"/>
        </w:rPr>
        <w:t xml:space="preserve"> 14,</w:t>
      </w:r>
      <w:r w:rsidR="00965208" w:rsidRPr="00F72B2E">
        <w:rPr>
          <w:rFonts w:ascii="Times New Roman" w:hAnsi="Times New Roman" w:cs="Times New Roman"/>
          <w:sz w:val="24"/>
          <w:szCs w:val="24"/>
        </w:rPr>
        <w:t xml:space="preserve"> natomiast</w:t>
      </w:r>
      <w:r w:rsidR="00F845E7" w:rsidRPr="00F72B2E">
        <w:rPr>
          <w:rFonts w:ascii="Times New Roman" w:hAnsi="Times New Roman" w:cs="Times New Roman"/>
          <w:sz w:val="24"/>
          <w:szCs w:val="24"/>
        </w:rPr>
        <w:t xml:space="preserve"> w przyp</w:t>
      </w:r>
      <w:r w:rsidR="00965208" w:rsidRPr="00F72B2E">
        <w:rPr>
          <w:rFonts w:ascii="Times New Roman" w:hAnsi="Times New Roman" w:cs="Times New Roman"/>
          <w:sz w:val="24"/>
          <w:szCs w:val="24"/>
        </w:rPr>
        <w:t>a</w:t>
      </w:r>
      <w:r w:rsidR="00F845E7" w:rsidRPr="00F72B2E">
        <w:rPr>
          <w:rFonts w:ascii="Times New Roman" w:hAnsi="Times New Roman" w:cs="Times New Roman"/>
          <w:sz w:val="24"/>
          <w:szCs w:val="24"/>
        </w:rPr>
        <w:t>dk</w:t>
      </w:r>
      <w:r w:rsidR="00965208" w:rsidRPr="00F72B2E">
        <w:rPr>
          <w:rFonts w:ascii="Times New Roman" w:hAnsi="Times New Roman" w:cs="Times New Roman"/>
          <w:sz w:val="24"/>
          <w:szCs w:val="24"/>
        </w:rPr>
        <w:t>u</w:t>
      </w:r>
      <w:r w:rsidR="00F845E7" w:rsidRPr="00F72B2E">
        <w:rPr>
          <w:rFonts w:ascii="Times New Roman" w:hAnsi="Times New Roman" w:cs="Times New Roman"/>
          <w:sz w:val="24"/>
          <w:szCs w:val="24"/>
        </w:rPr>
        <w:t xml:space="preserve"> dojazdów jeszcze r</w:t>
      </w:r>
      <w:r w:rsidR="00965208" w:rsidRPr="00F72B2E">
        <w:rPr>
          <w:rFonts w:ascii="Times New Roman" w:hAnsi="Times New Roman" w:cs="Times New Roman"/>
          <w:sz w:val="24"/>
          <w:szCs w:val="24"/>
        </w:rPr>
        <w:t>z</w:t>
      </w:r>
      <w:r w:rsidR="00F845E7" w:rsidRPr="00F72B2E">
        <w:rPr>
          <w:rFonts w:ascii="Times New Roman" w:hAnsi="Times New Roman" w:cs="Times New Roman"/>
          <w:sz w:val="24"/>
          <w:szCs w:val="24"/>
        </w:rPr>
        <w:t xml:space="preserve">adszych </w:t>
      </w:r>
      <w:r w:rsidR="004D48A0" w:rsidRPr="00F72B2E">
        <w:rPr>
          <w:rFonts w:ascii="Times New Roman" w:hAnsi="Times New Roman" w:cs="Times New Roman"/>
          <w:sz w:val="24"/>
          <w:szCs w:val="24"/>
        </w:rPr>
        <w:t xml:space="preserve">wartości tego </w:t>
      </w:r>
      <w:r w:rsidR="00767B9F" w:rsidRPr="00F72B2E">
        <w:rPr>
          <w:rFonts w:ascii="Times New Roman" w:hAnsi="Times New Roman" w:cs="Times New Roman"/>
          <w:sz w:val="24"/>
          <w:szCs w:val="24"/>
        </w:rPr>
        <w:t xml:space="preserve">wskaźnika </w:t>
      </w:r>
      <w:r w:rsidR="004D48A0" w:rsidRPr="00F72B2E">
        <w:rPr>
          <w:rFonts w:ascii="Times New Roman" w:hAnsi="Times New Roman" w:cs="Times New Roman"/>
          <w:sz w:val="24"/>
          <w:szCs w:val="24"/>
        </w:rPr>
        <w:t>wyniosły</w:t>
      </w:r>
      <w:r w:rsidR="00F845E7" w:rsidRPr="00F72B2E">
        <w:rPr>
          <w:rFonts w:ascii="Times New Roman" w:hAnsi="Times New Roman" w:cs="Times New Roman"/>
          <w:sz w:val="24"/>
          <w:szCs w:val="24"/>
        </w:rPr>
        <w:t xml:space="preserve"> </w:t>
      </w:r>
      <w:r w:rsidR="00F85190" w:rsidRPr="00F72B2E">
        <w:rPr>
          <w:rFonts w:ascii="Times New Roman" w:hAnsi="Times New Roman" w:cs="Times New Roman"/>
          <w:sz w:val="24"/>
          <w:szCs w:val="24"/>
        </w:rPr>
        <w:t xml:space="preserve">na przykład </w:t>
      </w:r>
      <w:r w:rsidR="00F845E7" w:rsidRPr="00F72B2E">
        <w:rPr>
          <w:rFonts w:ascii="Times New Roman" w:hAnsi="Times New Roman" w:cs="Times New Roman"/>
          <w:sz w:val="24"/>
          <w:szCs w:val="24"/>
        </w:rPr>
        <w:t xml:space="preserve">73 w </w:t>
      </w:r>
      <w:r w:rsidR="00A738C4" w:rsidRPr="00F72B2E">
        <w:rPr>
          <w:rFonts w:ascii="Times New Roman" w:hAnsi="Times New Roman" w:cs="Times New Roman"/>
          <w:sz w:val="24"/>
          <w:szCs w:val="24"/>
        </w:rPr>
        <w:t xml:space="preserve">województwie </w:t>
      </w:r>
      <w:r w:rsidR="00A23BBA" w:rsidRPr="00F72B2E">
        <w:rPr>
          <w:rFonts w:ascii="Times New Roman" w:hAnsi="Times New Roman" w:cs="Times New Roman"/>
          <w:sz w:val="24"/>
          <w:szCs w:val="24"/>
        </w:rPr>
        <w:t xml:space="preserve">mazowieckim </w:t>
      </w:r>
      <w:r w:rsidR="009F1E75">
        <w:rPr>
          <w:rFonts w:ascii="Times New Roman" w:hAnsi="Times New Roman" w:cs="Times New Roman"/>
          <w:sz w:val="24"/>
          <w:szCs w:val="24"/>
        </w:rPr>
        <w:t>i </w:t>
      </w:r>
      <w:r w:rsidR="00F845E7" w:rsidRPr="00F72B2E">
        <w:rPr>
          <w:rFonts w:ascii="Times New Roman" w:hAnsi="Times New Roman" w:cs="Times New Roman"/>
          <w:sz w:val="24"/>
          <w:szCs w:val="24"/>
        </w:rPr>
        <w:t xml:space="preserve">21 w </w:t>
      </w:r>
      <w:r w:rsidR="00A738C4" w:rsidRPr="00F72B2E">
        <w:rPr>
          <w:rFonts w:ascii="Times New Roman" w:hAnsi="Times New Roman" w:cs="Times New Roman"/>
          <w:sz w:val="24"/>
          <w:szCs w:val="24"/>
        </w:rPr>
        <w:t xml:space="preserve">województwie </w:t>
      </w:r>
      <w:r w:rsidR="00A23BBA" w:rsidRPr="00F72B2E">
        <w:rPr>
          <w:rFonts w:ascii="Times New Roman" w:hAnsi="Times New Roman" w:cs="Times New Roman"/>
          <w:sz w:val="24"/>
          <w:szCs w:val="24"/>
        </w:rPr>
        <w:t>warmińsko</w:t>
      </w:r>
      <w:r w:rsidR="00697915">
        <w:rPr>
          <w:rFonts w:ascii="Times New Roman" w:hAnsi="Times New Roman" w:cs="Times New Roman"/>
          <w:sz w:val="24"/>
          <w:szCs w:val="24"/>
        </w:rPr>
        <w:t>-</w:t>
      </w:r>
      <w:r w:rsidR="00A23BBA" w:rsidRPr="00F72B2E">
        <w:rPr>
          <w:rFonts w:ascii="Times New Roman" w:hAnsi="Times New Roman" w:cs="Times New Roman"/>
          <w:sz w:val="24"/>
          <w:szCs w:val="24"/>
        </w:rPr>
        <w:t>mazurskim</w:t>
      </w:r>
      <w:r w:rsidRPr="00F72B2E">
        <w:rPr>
          <w:rFonts w:ascii="Times New Roman" w:hAnsi="Times New Roman" w:cs="Times New Roman"/>
          <w:sz w:val="24"/>
          <w:szCs w:val="24"/>
        </w:rPr>
        <w:t>), nigdzie też kobiety nie uzyskały pod tym względem przewa</w:t>
      </w:r>
      <w:r w:rsidR="00F845E7" w:rsidRPr="00F72B2E">
        <w:rPr>
          <w:rFonts w:ascii="Times New Roman" w:hAnsi="Times New Roman" w:cs="Times New Roman"/>
          <w:sz w:val="24"/>
          <w:szCs w:val="24"/>
        </w:rPr>
        <w:t>gi.</w:t>
      </w:r>
    </w:p>
    <w:p w:rsidR="003D2F3B" w:rsidRDefault="00A864E0" w:rsidP="00F72B2E">
      <w:pPr>
        <w:pStyle w:val="tekstgl"/>
        <w:spacing w:after="0" w:line="360" w:lineRule="auto"/>
        <w:rPr>
          <w:rFonts w:ascii="Times New Roman" w:hAnsi="Times New Roman" w:cs="Times New Roman"/>
          <w:sz w:val="24"/>
          <w:szCs w:val="24"/>
        </w:rPr>
      </w:pPr>
      <w:r w:rsidRPr="00F72B2E">
        <w:rPr>
          <w:rFonts w:ascii="Times New Roman" w:hAnsi="Times New Roman" w:cs="Times New Roman"/>
          <w:sz w:val="24"/>
          <w:szCs w:val="24"/>
        </w:rPr>
        <w:t>Mając do dys</w:t>
      </w:r>
      <w:r w:rsidR="00965208" w:rsidRPr="00F72B2E">
        <w:rPr>
          <w:rFonts w:ascii="Times New Roman" w:hAnsi="Times New Roman" w:cs="Times New Roman"/>
          <w:sz w:val="24"/>
          <w:szCs w:val="24"/>
        </w:rPr>
        <w:t>poz</w:t>
      </w:r>
      <w:r w:rsidRPr="00F72B2E">
        <w:rPr>
          <w:rFonts w:ascii="Times New Roman" w:hAnsi="Times New Roman" w:cs="Times New Roman"/>
          <w:sz w:val="24"/>
          <w:szCs w:val="24"/>
        </w:rPr>
        <w:t>ycji omówione wyżej</w:t>
      </w:r>
      <w:r w:rsidR="00965208" w:rsidRPr="00F72B2E">
        <w:rPr>
          <w:rFonts w:ascii="Times New Roman" w:hAnsi="Times New Roman" w:cs="Times New Roman"/>
          <w:sz w:val="24"/>
          <w:szCs w:val="24"/>
        </w:rPr>
        <w:t xml:space="preserve"> zmien</w:t>
      </w:r>
      <w:r w:rsidRPr="00F72B2E">
        <w:rPr>
          <w:rFonts w:ascii="Times New Roman" w:hAnsi="Times New Roman" w:cs="Times New Roman"/>
          <w:sz w:val="24"/>
          <w:szCs w:val="24"/>
        </w:rPr>
        <w:t xml:space="preserve">ne warto </w:t>
      </w:r>
      <w:r w:rsidR="00965208" w:rsidRPr="00F72B2E">
        <w:rPr>
          <w:rFonts w:ascii="Times New Roman" w:hAnsi="Times New Roman" w:cs="Times New Roman"/>
          <w:sz w:val="24"/>
          <w:szCs w:val="24"/>
        </w:rPr>
        <w:t>n</w:t>
      </w:r>
      <w:r w:rsidRPr="00F72B2E">
        <w:rPr>
          <w:rFonts w:ascii="Times New Roman" w:hAnsi="Times New Roman" w:cs="Times New Roman"/>
          <w:sz w:val="24"/>
          <w:szCs w:val="24"/>
        </w:rPr>
        <w:t>a</w:t>
      </w:r>
      <w:r w:rsidR="00965208" w:rsidRPr="00F72B2E">
        <w:rPr>
          <w:rFonts w:ascii="Times New Roman" w:hAnsi="Times New Roman" w:cs="Times New Roman"/>
          <w:sz w:val="24"/>
          <w:szCs w:val="24"/>
        </w:rPr>
        <w:t xml:space="preserve"> zakończenie przyjrzeć się nie</w:t>
      </w:r>
      <w:r w:rsidR="008152D1" w:rsidRPr="00F72B2E">
        <w:rPr>
          <w:rFonts w:ascii="Times New Roman" w:hAnsi="Times New Roman" w:cs="Times New Roman"/>
          <w:sz w:val="24"/>
          <w:szCs w:val="24"/>
        </w:rPr>
        <w:t>którym ich</w:t>
      </w:r>
      <w:r w:rsidRPr="00F72B2E">
        <w:rPr>
          <w:rFonts w:ascii="Times New Roman" w:hAnsi="Times New Roman" w:cs="Times New Roman"/>
          <w:sz w:val="24"/>
          <w:szCs w:val="24"/>
        </w:rPr>
        <w:t xml:space="preserve"> </w:t>
      </w:r>
      <w:r w:rsidR="00FF1AFA" w:rsidRPr="00F72B2E">
        <w:rPr>
          <w:rFonts w:ascii="Times New Roman" w:hAnsi="Times New Roman" w:cs="Times New Roman"/>
          <w:sz w:val="24"/>
          <w:szCs w:val="24"/>
        </w:rPr>
        <w:t>ewentualnym związkom</w:t>
      </w:r>
      <w:r w:rsidRPr="00F72B2E">
        <w:rPr>
          <w:rFonts w:ascii="Times New Roman" w:hAnsi="Times New Roman" w:cs="Times New Roman"/>
          <w:sz w:val="24"/>
          <w:szCs w:val="24"/>
        </w:rPr>
        <w:t xml:space="preserve">. </w:t>
      </w:r>
      <w:r w:rsidR="00C06CCF" w:rsidRPr="00F72B2E">
        <w:rPr>
          <w:rFonts w:ascii="Times New Roman" w:hAnsi="Times New Roman" w:cs="Times New Roman"/>
          <w:sz w:val="24"/>
          <w:szCs w:val="24"/>
        </w:rPr>
        <w:t>P</w:t>
      </w:r>
      <w:r w:rsidRPr="00F72B2E">
        <w:rPr>
          <w:rFonts w:ascii="Times New Roman" w:hAnsi="Times New Roman" w:cs="Times New Roman"/>
          <w:sz w:val="24"/>
          <w:szCs w:val="24"/>
        </w:rPr>
        <w:t>owiązanie pomię</w:t>
      </w:r>
      <w:r w:rsidR="003D2F3B" w:rsidRPr="00F72B2E">
        <w:rPr>
          <w:rFonts w:ascii="Times New Roman" w:hAnsi="Times New Roman" w:cs="Times New Roman"/>
          <w:sz w:val="24"/>
          <w:szCs w:val="24"/>
        </w:rPr>
        <w:t>dzy czasem dojazdu do p</w:t>
      </w:r>
      <w:r w:rsidR="00965208" w:rsidRPr="00F72B2E">
        <w:rPr>
          <w:rFonts w:ascii="Times New Roman" w:hAnsi="Times New Roman" w:cs="Times New Roman"/>
          <w:sz w:val="24"/>
          <w:szCs w:val="24"/>
        </w:rPr>
        <w:t>r</w:t>
      </w:r>
      <w:r w:rsidR="003D2F3B" w:rsidRPr="00F72B2E">
        <w:rPr>
          <w:rFonts w:ascii="Times New Roman" w:hAnsi="Times New Roman" w:cs="Times New Roman"/>
          <w:sz w:val="24"/>
          <w:szCs w:val="24"/>
        </w:rPr>
        <w:t>a</w:t>
      </w:r>
      <w:r w:rsidR="00965208" w:rsidRPr="00F72B2E">
        <w:rPr>
          <w:rFonts w:ascii="Times New Roman" w:hAnsi="Times New Roman" w:cs="Times New Roman"/>
          <w:sz w:val="24"/>
          <w:szCs w:val="24"/>
        </w:rPr>
        <w:t>c</w:t>
      </w:r>
      <w:r w:rsidR="009F1E75">
        <w:rPr>
          <w:rFonts w:ascii="Times New Roman" w:hAnsi="Times New Roman" w:cs="Times New Roman"/>
          <w:sz w:val="24"/>
          <w:szCs w:val="24"/>
        </w:rPr>
        <w:t>y a </w:t>
      </w:r>
      <w:r w:rsidRPr="00F72B2E">
        <w:rPr>
          <w:rFonts w:ascii="Times New Roman" w:hAnsi="Times New Roman" w:cs="Times New Roman"/>
          <w:sz w:val="24"/>
          <w:szCs w:val="24"/>
        </w:rPr>
        <w:t>częstotliwością tegoż dojazd</w:t>
      </w:r>
      <w:r w:rsidR="00965208" w:rsidRPr="00F72B2E">
        <w:rPr>
          <w:rFonts w:ascii="Times New Roman" w:hAnsi="Times New Roman" w:cs="Times New Roman"/>
          <w:sz w:val="24"/>
          <w:szCs w:val="24"/>
        </w:rPr>
        <w:t xml:space="preserve">u </w:t>
      </w:r>
      <w:r w:rsidR="00C06CCF" w:rsidRPr="00F72B2E">
        <w:rPr>
          <w:rFonts w:ascii="Times New Roman" w:hAnsi="Times New Roman" w:cs="Times New Roman"/>
          <w:sz w:val="24"/>
          <w:szCs w:val="24"/>
        </w:rPr>
        <w:t>u</w:t>
      </w:r>
      <w:r w:rsidR="00965208" w:rsidRPr="00F72B2E">
        <w:rPr>
          <w:rFonts w:ascii="Times New Roman" w:hAnsi="Times New Roman" w:cs="Times New Roman"/>
          <w:sz w:val="24"/>
          <w:szCs w:val="24"/>
        </w:rPr>
        <w:t>kazu</w:t>
      </w:r>
      <w:r w:rsidRPr="00F72B2E">
        <w:rPr>
          <w:rFonts w:ascii="Times New Roman" w:hAnsi="Times New Roman" w:cs="Times New Roman"/>
          <w:sz w:val="24"/>
          <w:szCs w:val="24"/>
        </w:rPr>
        <w:t xml:space="preserve">je </w:t>
      </w:r>
      <w:r w:rsidR="000D1111">
        <w:rPr>
          <w:rFonts w:ascii="Times New Roman" w:hAnsi="Times New Roman" w:cs="Times New Roman"/>
          <w:sz w:val="24"/>
          <w:szCs w:val="24"/>
        </w:rPr>
        <w:t>tablica</w:t>
      </w:r>
      <w:r w:rsidR="00871E11">
        <w:rPr>
          <w:rFonts w:ascii="Times New Roman" w:hAnsi="Times New Roman" w:cs="Times New Roman"/>
          <w:sz w:val="24"/>
          <w:szCs w:val="24"/>
        </w:rPr>
        <w:t xml:space="preserve"> 6.</w:t>
      </w:r>
      <w:r w:rsidR="0078237B">
        <w:rPr>
          <w:rFonts w:ascii="Times New Roman" w:hAnsi="Times New Roman" w:cs="Times New Roman"/>
          <w:sz w:val="24"/>
          <w:szCs w:val="24"/>
        </w:rPr>
        <w:t>2</w:t>
      </w:r>
      <w:r w:rsidR="00830FA6" w:rsidRPr="00F72B2E">
        <w:rPr>
          <w:rFonts w:ascii="Times New Roman" w:hAnsi="Times New Roman" w:cs="Times New Roman"/>
          <w:sz w:val="24"/>
          <w:szCs w:val="24"/>
        </w:rPr>
        <w:t>.</w:t>
      </w:r>
    </w:p>
    <w:p w:rsidR="00816A59" w:rsidRDefault="00816A59" w:rsidP="00F72B2E">
      <w:pPr>
        <w:pStyle w:val="tekstgl"/>
        <w:spacing w:after="0" w:line="360" w:lineRule="auto"/>
        <w:rPr>
          <w:rFonts w:ascii="Times New Roman" w:hAnsi="Times New Roman" w:cs="Times New Roman"/>
          <w:sz w:val="24"/>
          <w:szCs w:val="24"/>
        </w:rPr>
      </w:pPr>
    </w:p>
    <w:p w:rsidR="00816A59" w:rsidRDefault="00816A59" w:rsidP="00F72B2E">
      <w:pPr>
        <w:pStyle w:val="tekstgl"/>
        <w:spacing w:after="0" w:line="360" w:lineRule="auto"/>
        <w:rPr>
          <w:rFonts w:ascii="Times New Roman" w:hAnsi="Times New Roman" w:cs="Times New Roman"/>
          <w:sz w:val="24"/>
          <w:szCs w:val="24"/>
        </w:rPr>
      </w:pPr>
    </w:p>
    <w:p w:rsidR="00816A59" w:rsidRDefault="00816A59" w:rsidP="00F72B2E">
      <w:pPr>
        <w:pStyle w:val="tekstgl"/>
        <w:spacing w:after="0" w:line="360" w:lineRule="auto"/>
        <w:rPr>
          <w:rFonts w:ascii="Times New Roman" w:hAnsi="Times New Roman" w:cs="Times New Roman"/>
          <w:sz w:val="24"/>
          <w:szCs w:val="24"/>
        </w:rPr>
      </w:pPr>
    </w:p>
    <w:p w:rsidR="00816A59" w:rsidRDefault="00816A59" w:rsidP="00F72B2E">
      <w:pPr>
        <w:pStyle w:val="tekstgl"/>
        <w:spacing w:after="0" w:line="360" w:lineRule="auto"/>
        <w:rPr>
          <w:rFonts w:ascii="Times New Roman" w:hAnsi="Times New Roman" w:cs="Times New Roman"/>
          <w:sz w:val="24"/>
          <w:szCs w:val="24"/>
        </w:rPr>
      </w:pPr>
    </w:p>
    <w:p w:rsidR="00816A59" w:rsidRPr="00F72B2E" w:rsidRDefault="00816A59" w:rsidP="00F72B2E">
      <w:pPr>
        <w:pStyle w:val="tekstgl"/>
        <w:spacing w:after="0" w:line="360" w:lineRule="auto"/>
        <w:rPr>
          <w:rFonts w:ascii="Times New Roman" w:hAnsi="Times New Roman" w:cs="Times New Roman"/>
          <w:sz w:val="24"/>
          <w:szCs w:val="24"/>
        </w:rPr>
      </w:pPr>
    </w:p>
    <w:p w:rsidR="00965208" w:rsidRPr="00F72B2E" w:rsidRDefault="0007743E" w:rsidP="000909AB">
      <w:pPr>
        <w:pStyle w:val="Akapitzlist"/>
        <w:keepNext/>
        <w:spacing w:after="40"/>
        <w:ind w:left="0"/>
        <w:contextualSpacing w:val="0"/>
        <w:jc w:val="both"/>
        <w:rPr>
          <w:rFonts w:ascii="Times New Roman" w:hAnsi="Times New Roman" w:cs="Times New Roman"/>
          <w:b/>
          <w:sz w:val="20"/>
          <w:szCs w:val="20"/>
        </w:rPr>
      </w:pPr>
      <w:r w:rsidRPr="00F72B2E">
        <w:rPr>
          <w:rFonts w:ascii="Times New Roman" w:hAnsi="Times New Roman" w:cs="Times New Roman"/>
          <w:b/>
          <w:sz w:val="20"/>
          <w:szCs w:val="20"/>
        </w:rPr>
        <w:lastRenderedPageBreak/>
        <w:t>T</w:t>
      </w:r>
      <w:r w:rsidR="000909AB">
        <w:rPr>
          <w:rFonts w:ascii="Times New Roman" w:hAnsi="Times New Roman" w:cs="Times New Roman"/>
          <w:b/>
          <w:sz w:val="20"/>
          <w:szCs w:val="20"/>
        </w:rPr>
        <w:t>ab</w:t>
      </w:r>
      <w:r w:rsidR="0003508B">
        <w:rPr>
          <w:rFonts w:ascii="Times New Roman" w:hAnsi="Times New Roman" w:cs="Times New Roman"/>
          <w:b/>
          <w:sz w:val="20"/>
          <w:szCs w:val="20"/>
        </w:rPr>
        <w:t>e</w:t>
      </w:r>
      <w:r w:rsidR="000909AB">
        <w:rPr>
          <w:rFonts w:ascii="Times New Roman" w:hAnsi="Times New Roman" w:cs="Times New Roman"/>
          <w:b/>
          <w:sz w:val="20"/>
          <w:szCs w:val="20"/>
        </w:rPr>
        <w:t>l</w:t>
      </w:r>
      <w:r w:rsidR="0003508B">
        <w:rPr>
          <w:rFonts w:ascii="Times New Roman" w:hAnsi="Times New Roman" w:cs="Times New Roman"/>
          <w:b/>
          <w:sz w:val="20"/>
          <w:szCs w:val="20"/>
        </w:rPr>
        <w:t>a</w:t>
      </w:r>
      <w:r w:rsidRPr="00F72B2E">
        <w:rPr>
          <w:rFonts w:ascii="Times New Roman" w:hAnsi="Times New Roman" w:cs="Times New Roman"/>
          <w:b/>
          <w:sz w:val="20"/>
          <w:szCs w:val="20"/>
        </w:rPr>
        <w:t xml:space="preserve"> </w:t>
      </w:r>
      <w:r w:rsidR="0003508B">
        <w:rPr>
          <w:rFonts w:ascii="Times New Roman" w:hAnsi="Times New Roman" w:cs="Times New Roman"/>
          <w:b/>
          <w:sz w:val="20"/>
          <w:szCs w:val="20"/>
        </w:rPr>
        <w:t>6.2</w:t>
      </w:r>
      <w:r w:rsidR="002A1EA5" w:rsidRPr="00F72B2E">
        <w:rPr>
          <w:rFonts w:ascii="Times New Roman" w:hAnsi="Times New Roman" w:cs="Times New Roman"/>
          <w:b/>
          <w:sz w:val="20"/>
          <w:szCs w:val="20"/>
        </w:rPr>
        <w:t>.</w:t>
      </w:r>
      <w:r w:rsidR="008152D1" w:rsidRPr="00F72B2E">
        <w:rPr>
          <w:rFonts w:ascii="Times New Roman" w:hAnsi="Times New Roman" w:cs="Times New Roman"/>
          <w:b/>
          <w:sz w:val="20"/>
          <w:szCs w:val="20"/>
        </w:rPr>
        <w:t xml:space="preserve"> </w:t>
      </w:r>
      <w:r w:rsidR="000909AB">
        <w:rPr>
          <w:rFonts w:ascii="Times New Roman" w:hAnsi="Times New Roman" w:cs="Times New Roman"/>
          <w:b/>
          <w:sz w:val="20"/>
          <w:szCs w:val="20"/>
        </w:rPr>
        <w:t>D</w:t>
      </w:r>
      <w:r w:rsidR="000909AB" w:rsidRPr="00F72B2E">
        <w:rPr>
          <w:rFonts w:ascii="Times New Roman" w:hAnsi="Times New Roman" w:cs="Times New Roman"/>
          <w:b/>
          <w:sz w:val="20"/>
          <w:szCs w:val="20"/>
        </w:rPr>
        <w:t>ojeżdżający do pracy według czasu i częstotliwości dojazdu</w:t>
      </w:r>
    </w:p>
    <w:tbl>
      <w:tblPr>
        <w:tblW w:w="9001" w:type="dxa"/>
        <w:tblInd w:w="70" w:type="dxa"/>
        <w:tblLayout w:type="fixed"/>
        <w:tblCellMar>
          <w:left w:w="70" w:type="dxa"/>
          <w:right w:w="70" w:type="dxa"/>
        </w:tblCellMar>
        <w:tblLook w:val="04A0"/>
      </w:tblPr>
      <w:tblGrid>
        <w:gridCol w:w="2268"/>
        <w:gridCol w:w="1122"/>
        <w:gridCol w:w="1122"/>
        <w:gridCol w:w="1122"/>
        <w:gridCol w:w="1122"/>
        <w:gridCol w:w="1122"/>
        <w:gridCol w:w="1123"/>
      </w:tblGrid>
      <w:tr w:rsidR="00A87253" w:rsidRPr="00F72B2E" w:rsidTr="00A613E2">
        <w:trPr>
          <w:cantSplit/>
          <w:trHeight w:val="1203"/>
          <w:tblHeader/>
        </w:trPr>
        <w:tc>
          <w:tcPr>
            <w:tcW w:w="2268" w:type="dxa"/>
            <w:tcBorders>
              <w:top w:val="single" w:sz="4" w:space="0" w:color="000000"/>
              <w:right w:val="single" w:sz="4" w:space="0" w:color="000000"/>
              <w:tl2br w:val="single" w:sz="4" w:space="0" w:color="000000"/>
            </w:tcBorders>
            <w:shd w:val="clear" w:color="auto" w:fill="auto"/>
            <w:vAlign w:val="center"/>
            <w:hideMark/>
          </w:tcPr>
          <w:p w:rsidR="00A87253" w:rsidRPr="00816A59" w:rsidRDefault="00A87253" w:rsidP="00D93A39">
            <w:pPr>
              <w:keepNext/>
              <w:tabs>
                <w:tab w:val="left" w:pos="923"/>
              </w:tabs>
              <w:spacing w:after="120" w:line="240" w:lineRule="auto"/>
              <w:ind w:hanging="527"/>
              <w:rPr>
                <w:rFonts w:ascii="Times New Roman" w:eastAsia="Times New Roman" w:hAnsi="Times New Roman" w:cs="Times New Roman"/>
                <w:bCs/>
                <w:color w:val="000000"/>
                <w:sz w:val="20"/>
                <w:szCs w:val="20"/>
                <w:lang w:eastAsia="pl-PL"/>
              </w:rPr>
            </w:pPr>
            <w:r w:rsidRPr="00816A59">
              <w:rPr>
                <w:rFonts w:ascii="Times New Roman" w:eastAsia="Times New Roman" w:hAnsi="Times New Roman" w:cs="Times New Roman"/>
                <w:bCs/>
                <w:color w:val="000000"/>
                <w:sz w:val="20"/>
                <w:szCs w:val="20"/>
                <w:lang w:eastAsia="pl-PL"/>
              </w:rPr>
              <w:t xml:space="preserve">                         Częstotliwość                                        </w:t>
            </w:r>
            <w:r w:rsidRPr="00816A59">
              <w:rPr>
                <w:rFonts w:ascii="Times New Roman" w:eastAsia="Times New Roman" w:hAnsi="Times New Roman" w:cs="Times New Roman"/>
                <w:bCs/>
                <w:color w:val="000000"/>
                <w:sz w:val="20"/>
                <w:szCs w:val="20"/>
                <w:lang w:eastAsia="pl-PL"/>
              </w:rPr>
              <w:tab/>
              <w:t xml:space="preserve">   dojazdu</w:t>
            </w:r>
          </w:p>
          <w:p w:rsidR="00A87253" w:rsidRPr="00816A59" w:rsidRDefault="00A87253" w:rsidP="00ED4CA3">
            <w:pPr>
              <w:keepNext/>
              <w:spacing w:after="0" w:line="240" w:lineRule="auto"/>
              <w:rPr>
                <w:rFonts w:ascii="Times New Roman" w:eastAsia="Times New Roman" w:hAnsi="Times New Roman" w:cs="Times New Roman"/>
                <w:bCs/>
                <w:color w:val="000000"/>
                <w:sz w:val="20"/>
                <w:szCs w:val="20"/>
                <w:lang w:eastAsia="pl-PL"/>
              </w:rPr>
            </w:pPr>
          </w:p>
          <w:p w:rsidR="00A87253" w:rsidRPr="00816A59" w:rsidRDefault="00A87253" w:rsidP="00ED4CA3">
            <w:pPr>
              <w:keepNext/>
              <w:spacing w:after="0" w:line="240" w:lineRule="auto"/>
              <w:rPr>
                <w:rFonts w:ascii="Times New Roman" w:eastAsia="Times New Roman" w:hAnsi="Times New Roman" w:cs="Times New Roman"/>
                <w:bCs/>
                <w:color w:val="000000"/>
                <w:sz w:val="20"/>
                <w:szCs w:val="20"/>
                <w:lang w:eastAsia="pl-PL"/>
              </w:rPr>
            </w:pPr>
            <w:r w:rsidRPr="00816A59">
              <w:rPr>
                <w:rFonts w:ascii="Times New Roman" w:eastAsia="Times New Roman" w:hAnsi="Times New Roman" w:cs="Times New Roman"/>
                <w:bCs/>
                <w:color w:val="000000"/>
                <w:sz w:val="20"/>
                <w:szCs w:val="20"/>
                <w:lang w:eastAsia="pl-PL"/>
              </w:rPr>
              <w:t>Czas dojazdu</w:t>
            </w:r>
          </w:p>
        </w:tc>
        <w:tc>
          <w:tcPr>
            <w:tcW w:w="112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87253" w:rsidRPr="00816A59" w:rsidRDefault="00A87253" w:rsidP="00ED4CA3">
            <w:pPr>
              <w:keepNext/>
              <w:spacing w:after="0" w:line="240" w:lineRule="auto"/>
              <w:jc w:val="center"/>
              <w:rPr>
                <w:rFonts w:ascii="Times New Roman" w:eastAsia="Times New Roman" w:hAnsi="Times New Roman" w:cs="Times New Roman"/>
                <w:bCs/>
                <w:color w:val="000000"/>
                <w:sz w:val="20"/>
                <w:szCs w:val="20"/>
                <w:lang w:eastAsia="pl-PL"/>
              </w:rPr>
            </w:pPr>
            <w:r w:rsidRPr="00816A59">
              <w:rPr>
                <w:rFonts w:ascii="Times New Roman" w:eastAsia="Times New Roman" w:hAnsi="Times New Roman" w:cs="Times New Roman"/>
                <w:bCs/>
                <w:color w:val="000000"/>
                <w:sz w:val="20"/>
                <w:szCs w:val="20"/>
                <w:lang w:eastAsia="pl-PL"/>
              </w:rPr>
              <w:t>Codziennie</w:t>
            </w:r>
          </w:p>
        </w:tc>
        <w:tc>
          <w:tcPr>
            <w:tcW w:w="112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91C4B" w:rsidRDefault="00A87253" w:rsidP="00ED4CA3">
            <w:pPr>
              <w:keepNext/>
              <w:spacing w:after="0" w:line="240" w:lineRule="auto"/>
              <w:jc w:val="center"/>
              <w:rPr>
                <w:rFonts w:ascii="Times New Roman" w:eastAsia="Times New Roman" w:hAnsi="Times New Roman" w:cs="Times New Roman"/>
                <w:bCs/>
                <w:color w:val="000000"/>
                <w:sz w:val="20"/>
                <w:szCs w:val="20"/>
                <w:lang w:eastAsia="pl-PL"/>
              </w:rPr>
            </w:pPr>
            <w:r w:rsidRPr="00816A59">
              <w:rPr>
                <w:rFonts w:ascii="Times New Roman" w:eastAsia="Times New Roman" w:hAnsi="Times New Roman" w:cs="Times New Roman"/>
                <w:bCs/>
                <w:color w:val="000000"/>
                <w:sz w:val="20"/>
                <w:szCs w:val="20"/>
                <w:lang w:eastAsia="pl-PL"/>
              </w:rPr>
              <w:t xml:space="preserve">Częściej niż raz </w:t>
            </w:r>
          </w:p>
          <w:p w:rsidR="00A87253" w:rsidRPr="00816A59" w:rsidRDefault="00A87253" w:rsidP="00ED4CA3">
            <w:pPr>
              <w:keepNext/>
              <w:spacing w:after="0" w:line="240" w:lineRule="auto"/>
              <w:jc w:val="center"/>
              <w:rPr>
                <w:rFonts w:ascii="Times New Roman" w:eastAsia="Times New Roman" w:hAnsi="Times New Roman" w:cs="Times New Roman"/>
                <w:bCs/>
                <w:color w:val="000000"/>
                <w:sz w:val="20"/>
                <w:szCs w:val="20"/>
                <w:lang w:eastAsia="pl-PL"/>
              </w:rPr>
            </w:pPr>
            <w:r w:rsidRPr="00816A59">
              <w:rPr>
                <w:rFonts w:ascii="Times New Roman" w:eastAsia="Times New Roman" w:hAnsi="Times New Roman" w:cs="Times New Roman"/>
                <w:bCs/>
                <w:color w:val="000000"/>
                <w:sz w:val="20"/>
                <w:szCs w:val="20"/>
                <w:lang w:eastAsia="pl-PL"/>
              </w:rPr>
              <w:t>w tygodniu, ale nie codziennie</w:t>
            </w:r>
          </w:p>
        </w:tc>
        <w:tc>
          <w:tcPr>
            <w:tcW w:w="1122" w:type="dxa"/>
            <w:tcBorders>
              <w:top w:val="single" w:sz="4" w:space="0" w:color="000000"/>
              <w:left w:val="single" w:sz="4" w:space="0" w:color="000000"/>
              <w:bottom w:val="single" w:sz="4" w:space="0" w:color="000000"/>
              <w:right w:val="single" w:sz="4" w:space="0" w:color="000000"/>
            </w:tcBorders>
            <w:vAlign w:val="center"/>
          </w:tcPr>
          <w:p w:rsidR="00D91C4B" w:rsidRDefault="00A87253" w:rsidP="00ED4CA3">
            <w:pPr>
              <w:keepNext/>
              <w:spacing w:after="0" w:line="240" w:lineRule="auto"/>
              <w:jc w:val="center"/>
              <w:rPr>
                <w:rFonts w:ascii="Times New Roman" w:eastAsia="Times New Roman" w:hAnsi="Times New Roman" w:cs="Times New Roman"/>
                <w:bCs/>
                <w:color w:val="000000"/>
                <w:sz w:val="20"/>
                <w:szCs w:val="20"/>
                <w:lang w:eastAsia="pl-PL"/>
              </w:rPr>
            </w:pPr>
            <w:r w:rsidRPr="00816A59">
              <w:rPr>
                <w:rFonts w:ascii="Times New Roman" w:eastAsia="Times New Roman" w:hAnsi="Times New Roman" w:cs="Times New Roman"/>
                <w:bCs/>
                <w:color w:val="000000"/>
                <w:sz w:val="20"/>
                <w:szCs w:val="20"/>
                <w:lang w:eastAsia="pl-PL"/>
              </w:rPr>
              <w:t xml:space="preserve">Raz </w:t>
            </w:r>
          </w:p>
          <w:p w:rsidR="00A87253" w:rsidRPr="00816A59" w:rsidRDefault="00A87253" w:rsidP="00ED4CA3">
            <w:pPr>
              <w:keepNext/>
              <w:spacing w:after="0" w:line="240" w:lineRule="auto"/>
              <w:jc w:val="center"/>
              <w:rPr>
                <w:rFonts w:ascii="Times New Roman" w:eastAsia="Times New Roman" w:hAnsi="Times New Roman" w:cs="Times New Roman"/>
                <w:bCs/>
                <w:color w:val="000000"/>
                <w:sz w:val="20"/>
                <w:szCs w:val="20"/>
                <w:lang w:eastAsia="pl-PL"/>
              </w:rPr>
            </w:pPr>
            <w:r w:rsidRPr="00816A59">
              <w:rPr>
                <w:rFonts w:ascii="Times New Roman" w:eastAsia="Times New Roman" w:hAnsi="Times New Roman" w:cs="Times New Roman"/>
                <w:bCs/>
                <w:color w:val="000000"/>
                <w:sz w:val="20"/>
                <w:szCs w:val="20"/>
                <w:lang w:eastAsia="pl-PL"/>
              </w:rPr>
              <w:t>w tygodniu</w:t>
            </w:r>
          </w:p>
        </w:tc>
        <w:tc>
          <w:tcPr>
            <w:tcW w:w="112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87253" w:rsidRPr="00816A59" w:rsidRDefault="00A87253" w:rsidP="00ED4CA3">
            <w:pPr>
              <w:keepNext/>
              <w:spacing w:after="0" w:line="240" w:lineRule="auto"/>
              <w:jc w:val="center"/>
              <w:rPr>
                <w:rFonts w:ascii="Times New Roman" w:eastAsia="Times New Roman" w:hAnsi="Times New Roman" w:cs="Times New Roman"/>
                <w:bCs/>
                <w:color w:val="000000"/>
                <w:sz w:val="20"/>
                <w:szCs w:val="20"/>
                <w:lang w:eastAsia="pl-PL"/>
              </w:rPr>
            </w:pPr>
            <w:r w:rsidRPr="00816A59">
              <w:rPr>
                <w:rFonts w:ascii="Times New Roman" w:eastAsia="Times New Roman" w:hAnsi="Times New Roman" w:cs="Times New Roman"/>
                <w:bCs/>
                <w:color w:val="000000"/>
                <w:sz w:val="20"/>
                <w:szCs w:val="20"/>
                <w:lang w:eastAsia="pl-PL"/>
              </w:rPr>
              <w:t>Raz na 2 tygodnie</w:t>
            </w:r>
          </w:p>
        </w:tc>
        <w:tc>
          <w:tcPr>
            <w:tcW w:w="112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91C4B" w:rsidRDefault="00A87253" w:rsidP="00ED4CA3">
            <w:pPr>
              <w:keepNext/>
              <w:spacing w:after="0" w:line="240" w:lineRule="auto"/>
              <w:jc w:val="center"/>
              <w:rPr>
                <w:rFonts w:ascii="Times New Roman" w:eastAsia="Times New Roman" w:hAnsi="Times New Roman" w:cs="Times New Roman"/>
                <w:bCs/>
                <w:color w:val="000000"/>
                <w:sz w:val="20"/>
                <w:szCs w:val="20"/>
                <w:lang w:eastAsia="pl-PL"/>
              </w:rPr>
            </w:pPr>
            <w:r w:rsidRPr="00816A59">
              <w:rPr>
                <w:rFonts w:ascii="Times New Roman" w:eastAsia="Times New Roman" w:hAnsi="Times New Roman" w:cs="Times New Roman"/>
                <w:bCs/>
                <w:color w:val="000000"/>
                <w:sz w:val="20"/>
                <w:szCs w:val="20"/>
                <w:lang w:eastAsia="pl-PL"/>
              </w:rPr>
              <w:t xml:space="preserve">Raz </w:t>
            </w:r>
          </w:p>
          <w:p w:rsidR="00A87253" w:rsidRPr="00816A59" w:rsidRDefault="00A87253" w:rsidP="00ED4CA3">
            <w:pPr>
              <w:keepNext/>
              <w:spacing w:after="0" w:line="240" w:lineRule="auto"/>
              <w:jc w:val="center"/>
              <w:rPr>
                <w:rFonts w:ascii="Times New Roman" w:eastAsia="Times New Roman" w:hAnsi="Times New Roman" w:cs="Times New Roman"/>
                <w:bCs/>
                <w:color w:val="000000"/>
                <w:sz w:val="20"/>
                <w:szCs w:val="20"/>
                <w:lang w:eastAsia="pl-PL"/>
              </w:rPr>
            </w:pPr>
            <w:r w:rsidRPr="00816A59">
              <w:rPr>
                <w:rFonts w:ascii="Times New Roman" w:eastAsia="Times New Roman" w:hAnsi="Times New Roman" w:cs="Times New Roman"/>
                <w:bCs/>
                <w:color w:val="000000"/>
                <w:sz w:val="20"/>
                <w:szCs w:val="20"/>
                <w:lang w:eastAsia="pl-PL"/>
              </w:rPr>
              <w:t>w miesiącu</w:t>
            </w:r>
          </w:p>
        </w:tc>
        <w:tc>
          <w:tcPr>
            <w:tcW w:w="1123" w:type="dxa"/>
            <w:tcBorders>
              <w:top w:val="single" w:sz="4" w:space="0" w:color="000000"/>
              <w:left w:val="single" w:sz="4" w:space="0" w:color="000000"/>
              <w:bottom w:val="single" w:sz="4" w:space="0" w:color="000000"/>
            </w:tcBorders>
            <w:shd w:val="clear" w:color="auto" w:fill="auto"/>
            <w:vAlign w:val="center"/>
            <w:hideMark/>
          </w:tcPr>
          <w:p w:rsidR="00D91C4B" w:rsidRDefault="00A87253" w:rsidP="00ED4CA3">
            <w:pPr>
              <w:keepNext/>
              <w:spacing w:after="0" w:line="240" w:lineRule="auto"/>
              <w:jc w:val="center"/>
              <w:rPr>
                <w:rFonts w:ascii="Times New Roman" w:eastAsia="Times New Roman" w:hAnsi="Times New Roman" w:cs="Times New Roman"/>
                <w:bCs/>
                <w:color w:val="000000"/>
                <w:sz w:val="20"/>
                <w:szCs w:val="20"/>
                <w:lang w:eastAsia="pl-PL"/>
              </w:rPr>
            </w:pPr>
            <w:r w:rsidRPr="00816A59">
              <w:rPr>
                <w:rFonts w:ascii="Times New Roman" w:eastAsia="Times New Roman" w:hAnsi="Times New Roman" w:cs="Times New Roman"/>
                <w:bCs/>
                <w:color w:val="000000"/>
                <w:sz w:val="20"/>
                <w:szCs w:val="20"/>
                <w:lang w:eastAsia="pl-PL"/>
              </w:rPr>
              <w:t xml:space="preserve">Rzadziej niż raz </w:t>
            </w:r>
          </w:p>
          <w:p w:rsidR="00A87253" w:rsidRPr="00816A59" w:rsidRDefault="00A87253" w:rsidP="00ED4CA3">
            <w:pPr>
              <w:keepNext/>
              <w:spacing w:after="0" w:line="240" w:lineRule="auto"/>
              <w:jc w:val="center"/>
              <w:rPr>
                <w:rFonts w:ascii="Times New Roman" w:eastAsia="Times New Roman" w:hAnsi="Times New Roman" w:cs="Times New Roman"/>
                <w:bCs/>
                <w:color w:val="000000"/>
                <w:sz w:val="20"/>
                <w:szCs w:val="20"/>
                <w:lang w:eastAsia="pl-PL"/>
              </w:rPr>
            </w:pPr>
            <w:r w:rsidRPr="00816A59">
              <w:rPr>
                <w:rFonts w:ascii="Times New Roman" w:eastAsia="Times New Roman" w:hAnsi="Times New Roman" w:cs="Times New Roman"/>
                <w:bCs/>
                <w:color w:val="000000"/>
                <w:sz w:val="20"/>
                <w:szCs w:val="20"/>
                <w:lang w:eastAsia="pl-PL"/>
              </w:rPr>
              <w:t>w miesiącu</w:t>
            </w:r>
          </w:p>
        </w:tc>
      </w:tr>
      <w:tr w:rsidR="00A87253" w:rsidRPr="00F72B2E" w:rsidTr="00A613E2">
        <w:trPr>
          <w:cantSplit/>
          <w:trHeight w:val="276"/>
        </w:trPr>
        <w:tc>
          <w:tcPr>
            <w:tcW w:w="2268" w:type="dxa"/>
            <w:vMerge w:val="restart"/>
            <w:tcBorders>
              <w:top w:val="single" w:sz="4" w:space="0" w:color="000000"/>
              <w:right w:val="single" w:sz="4" w:space="0" w:color="000000"/>
            </w:tcBorders>
            <w:shd w:val="clear" w:color="auto" w:fill="auto"/>
            <w:hideMark/>
          </w:tcPr>
          <w:p w:rsidR="00A87253" w:rsidRPr="00816A59" w:rsidRDefault="00A87253" w:rsidP="003E7967">
            <w:pPr>
              <w:keepNext/>
              <w:tabs>
                <w:tab w:val="right" w:leader="dot" w:pos="2057"/>
              </w:tabs>
              <w:spacing w:after="0" w:line="240" w:lineRule="auto"/>
              <w:rPr>
                <w:rFonts w:ascii="Times New Roman" w:eastAsia="Times New Roman" w:hAnsi="Times New Roman" w:cs="Times New Roman"/>
                <w:bCs/>
                <w:color w:val="000000"/>
                <w:sz w:val="20"/>
                <w:szCs w:val="20"/>
                <w:lang w:eastAsia="pl-PL"/>
              </w:rPr>
            </w:pPr>
            <w:r w:rsidRPr="00816A59">
              <w:rPr>
                <w:rFonts w:ascii="Times New Roman" w:eastAsia="Times New Roman" w:hAnsi="Times New Roman" w:cs="Times New Roman"/>
                <w:bCs/>
                <w:color w:val="000000"/>
                <w:sz w:val="20"/>
                <w:szCs w:val="20"/>
                <w:lang w:eastAsia="pl-PL"/>
              </w:rPr>
              <w:t>Do 30 minut</w:t>
            </w:r>
            <w:r w:rsidRPr="00816A59">
              <w:rPr>
                <w:rFonts w:ascii="Times New Roman" w:eastAsia="Times New Roman" w:hAnsi="Times New Roman" w:cs="Times New Roman"/>
                <w:bCs/>
                <w:color w:val="000000"/>
                <w:sz w:val="20"/>
                <w:szCs w:val="20"/>
                <w:lang w:eastAsia="pl-PL"/>
              </w:rPr>
              <w:tab/>
              <w:t>a</w:t>
            </w:r>
          </w:p>
          <w:p w:rsidR="00A87253" w:rsidRPr="00816A59" w:rsidRDefault="00A87253" w:rsidP="003E7967">
            <w:pPr>
              <w:keepNext/>
              <w:tabs>
                <w:tab w:val="right" w:pos="2058"/>
              </w:tabs>
              <w:spacing w:after="0" w:line="240" w:lineRule="auto"/>
              <w:rPr>
                <w:rFonts w:ascii="Times New Roman" w:eastAsia="Times New Roman" w:hAnsi="Times New Roman" w:cs="Times New Roman"/>
                <w:bCs/>
                <w:color w:val="000000"/>
                <w:sz w:val="20"/>
                <w:szCs w:val="20"/>
                <w:lang w:eastAsia="pl-PL"/>
              </w:rPr>
            </w:pPr>
            <w:r w:rsidRPr="00816A59">
              <w:rPr>
                <w:rFonts w:ascii="Times New Roman" w:eastAsia="Times New Roman" w:hAnsi="Times New Roman" w:cs="Times New Roman"/>
                <w:bCs/>
                <w:color w:val="000000"/>
                <w:sz w:val="20"/>
                <w:szCs w:val="20"/>
                <w:lang w:eastAsia="pl-PL"/>
              </w:rPr>
              <w:tab/>
              <w:t>b</w:t>
            </w:r>
          </w:p>
          <w:p w:rsidR="00A87253" w:rsidRPr="00816A59" w:rsidRDefault="00A87253" w:rsidP="003E7967">
            <w:pPr>
              <w:keepNext/>
              <w:tabs>
                <w:tab w:val="right" w:pos="2058"/>
              </w:tabs>
              <w:spacing w:after="0" w:line="240" w:lineRule="auto"/>
              <w:rPr>
                <w:rFonts w:ascii="Times New Roman" w:eastAsia="Times New Roman" w:hAnsi="Times New Roman" w:cs="Times New Roman"/>
                <w:bCs/>
                <w:color w:val="000000"/>
                <w:sz w:val="20"/>
                <w:szCs w:val="20"/>
                <w:lang w:eastAsia="pl-PL"/>
              </w:rPr>
            </w:pPr>
            <w:r w:rsidRPr="00816A59">
              <w:rPr>
                <w:rFonts w:ascii="Times New Roman" w:eastAsia="Times New Roman" w:hAnsi="Times New Roman" w:cs="Times New Roman"/>
                <w:bCs/>
                <w:color w:val="000000"/>
                <w:sz w:val="20"/>
                <w:szCs w:val="20"/>
                <w:lang w:eastAsia="pl-PL"/>
              </w:rPr>
              <w:tab/>
              <w:t>c</w:t>
            </w:r>
          </w:p>
        </w:tc>
        <w:tc>
          <w:tcPr>
            <w:tcW w:w="1122" w:type="dxa"/>
            <w:tcBorders>
              <w:top w:val="single" w:sz="4" w:space="0" w:color="000000"/>
              <w:left w:val="single" w:sz="4" w:space="0" w:color="000000"/>
              <w:righ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5361,8</w:t>
            </w:r>
          </w:p>
        </w:tc>
        <w:tc>
          <w:tcPr>
            <w:tcW w:w="1122" w:type="dxa"/>
            <w:tcBorders>
              <w:top w:val="single" w:sz="4" w:space="0" w:color="000000"/>
              <w:left w:val="single" w:sz="4" w:space="0" w:color="000000"/>
              <w:righ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 xml:space="preserve">947,0 </w:t>
            </w:r>
          </w:p>
        </w:tc>
        <w:tc>
          <w:tcPr>
            <w:tcW w:w="1122" w:type="dxa"/>
            <w:tcBorders>
              <w:top w:val="single" w:sz="4" w:space="0" w:color="000000"/>
              <w:left w:val="single" w:sz="4" w:space="0" w:color="000000"/>
              <w:right w:val="single" w:sz="4" w:space="0" w:color="000000"/>
            </w:tcBorders>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37,3</w:t>
            </w:r>
          </w:p>
        </w:tc>
        <w:tc>
          <w:tcPr>
            <w:tcW w:w="1122" w:type="dxa"/>
            <w:tcBorders>
              <w:top w:val="single" w:sz="4" w:space="0" w:color="000000"/>
              <w:left w:val="single" w:sz="4" w:space="0" w:color="000000"/>
              <w:righ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8,2</w:t>
            </w:r>
          </w:p>
        </w:tc>
        <w:tc>
          <w:tcPr>
            <w:tcW w:w="1122" w:type="dxa"/>
            <w:tcBorders>
              <w:top w:val="single" w:sz="4" w:space="0" w:color="000000"/>
              <w:left w:val="single" w:sz="4" w:space="0" w:color="000000"/>
              <w:righ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3,3</w:t>
            </w:r>
          </w:p>
        </w:tc>
        <w:tc>
          <w:tcPr>
            <w:tcW w:w="1123" w:type="dxa"/>
            <w:tcBorders>
              <w:top w:val="single" w:sz="4" w:space="0" w:color="000000"/>
              <w:lef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1,6</w:t>
            </w:r>
          </w:p>
        </w:tc>
      </w:tr>
      <w:tr w:rsidR="00A87253" w:rsidRPr="00F72B2E" w:rsidTr="00A613E2">
        <w:trPr>
          <w:trHeight w:val="276"/>
        </w:trPr>
        <w:tc>
          <w:tcPr>
            <w:tcW w:w="2268" w:type="dxa"/>
            <w:vMerge/>
            <w:tcBorders>
              <w:top w:val="nil"/>
              <w:right w:val="single" w:sz="4" w:space="0" w:color="000000"/>
            </w:tcBorders>
            <w:shd w:val="clear" w:color="auto" w:fill="auto"/>
            <w:hideMark/>
          </w:tcPr>
          <w:p w:rsidR="00A87253" w:rsidRPr="00816A59" w:rsidRDefault="00A87253" w:rsidP="00ED4CA3">
            <w:pPr>
              <w:keepNext/>
              <w:spacing w:after="0" w:line="240" w:lineRule="auto"/>
              <w:rPr>
                <w:rFonts w:ascii="Times New Roman" w:eastAsia="Times New Roman" w:hAnsi="Times New Roman" w:cs="Times New Roman"/>
                <w:bCs/>
                <w:color w:val="000000"/>
                <w:sz w:val="20"/>
                <w:szCs w:val="20"/>
                <w:lang w:eastAsia="pl-PL"/>
              </w:rPr>
            </w:pPr>
          </w:p>
        </w:tc>
        <w:tc>
          <w:tcPr>
            <w:tcW w:w="1122" w:type="dxa"/>
            <w:tcBorders>
              <w:top w:val="nil"/>
              <w:left w:val="single" w:sz="4" w:space="0" w:color="000000"/>
              <w:righ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84,3</w:t>
            </w:r>
          </w:p>
        </w:tc>
        <w:tc>
          <w:tcPr>
            <w:tcW w:w="1122" w:type="dxa"/>
            <w:tcBorders>
              <w:top w:val="nil"/>
              <w:left w:val="single" w:sz="4" w:space="0" w:color="000000"/>
              <w:righ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14,9</w:t>
            </w:r>
          </w:p>
        </w:tc>
        <w:tc>
          <w:tcPr>
            <w:tcW w:w="1122" w:type="dxa"/>
            <w:tcBorders>
              <w:top w:val="nil"/>
              <w:left w:val="single" w:sz="4" w:space="0" w:color="000000"/>
              <w:right w:val="single" w:sz="4" w:space="0" w:color="000000"/>
            </w:tcBorders>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0,6</w:t>
            </w:r>
          </w:p>
        </w:tc>
        <w:tc>
          <w:tcPr>
            <w:tcW w:w="1122" w:type="dxa"/>
            <w:tcBorders>
              <w:top w:val="nil"/>
              <w:left w:val="single" w:sz="4" w:space="0" w:color="000000"/>
              <w:righ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0,1</w:t>
            </w:r>
          </w:p>
        </w:tc>
        <w:tc>
          <w:tcPr>
            <w:tcW w:w="1122" w:type="dxa"/>
            <w:tcBorders>
              <w:top w:val="nil"/>
              <w:left w:val="single" w:sz="4" w:space="0" w:color="000000"/>
              <w:righ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0,1</w:t>
            </w:r>
          </w:p>
        </w:tc>
        <w:tc>
          <w:tcPr>
            <w:tcW w:w="1123" w:type="dxa"/>
            <w:tcBorders>
              <w:top w:val="nil"/>
              <w:lef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0,0</w:t>
            </w:r>
          </w:p>
        </w:tc>
      </w:tr>
      <w:tr w:rsidR="00A87253" w:rsidRPr="00F72B2E" w:rsidTr="00A613E2">
        <w:trPr>
          <w:trHeight w:val="288"/>
        </w:trPr>
        <w:tc>
          <w:tcPr>
            <w:tcW w:w="2268" w:type="dxa"/>
            <w:vMerge/>
            <w:tcBorders>
              <w:top w:val="nil"/>
              <w:right w:val="single" w:sz="4" w:space="0" w:color="000000"/>
            </w:tcBorders>
            <w:shd w:val="clear" w:color="auto" w:fill="auto"/>
            <w:hideMark/>
          </w:tcPr>
          <w:p w:rsidR="00A87253" w:rsidRPr="00816A59" w:rsidRDefault="00A87253" w:rsidP="00ED4CA3">
            <w:pPr>
              <w:keepNext/>
              <w:spacing w:after="0" w:line="240" w:lineRule="auto"/>
              <w:rPr>
                <w:rFonts w:ascii="Times New Roman" w:eastAsia="Times New Roman" w:hAnsi="Times New Roman" w:cs="Times New Roman"/>
                <w:bCs/>
                <w:color w:val="000000"/>
                <w:sz w:val="20"/>
                <w:szCs w:val="20"/>
                <w:lang w:eastAsia="pl-PL"/>
              </w:rPr>
            </w:pPr>
          </w:p>
        </w:tc>
        <w:tc>
          <w:tcPr>
            <w:tcW w:w="1122" w:type="dxa"/>
            <w:tcBorders>
              <w:top w:val="nil"/>
              <w:left w:val="single" w:sz="4" w:space="0" w:color="000000"/>
              <w:righ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71,6</w:t>
            </w:r>
          </w:p>
        </w:tc>
        <w:tc>
          <w:tcPr>
            <w:tcW w:w="1122" w:type="dxa"/>
            <w:tcBorders>
              <w:top w:val="nil"/>
              <w:left w:val="single" w:sz="4" w:space="0" w:color="000000"/>
              <w:righ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65,5</w:t>
            </w:r>
          </w:p>
        </w:tc>
        <w:tc>
          <w:tcPr>
            <w:tcW w:w="1122" w:type="dxa"/>
            <w:tcBorders>
              <w:top w:val="nil"/>
              <w:left w:val="single" w:sz="4" w:space="0" w:color="000000"/>
              <w:right w:val="single" w:sz="4" w:space="0" w:color="000000"/>
            </w:tcBorders>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26,7</w:t>
            </w:r>
          </w:p>
        </w:tc>
        <w:tc>
          <w:tcPr>
            <w:tcW w:w="1122" w:type="dxa"/>
            <w:tcBorders>
              <w:top w:val="nil"/>
              <w:left w:val="single" w:sz="4" w:space="0" w:color="000000"/>
              <w:righ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21,7</w:t>
            </w:r>
          </w:p>
        </w:tc>
        <w:tc>
          <w:tcPr>
            <w:tcW w:w="1122" w:type="dxa"/>
            <w:tcBorders>
              <w:top w:val="nil"/>
              <w:left w:val="single" w:sz="4" w:space="0" w:color="000000"/>
              <w:righ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15,5</w:t>
            </w:r>
          </w:p>
        </w:tc>
        <w:tc>
          <w:tcPr>
            <w:tcW w:w="1123" w:type="dxa"/>
            <w:tcBorders>
              <w:top w:val="nil"/>
              <w:lef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17,4</w:t>
            </w:r>
          </w:p>
        </w:tc>
      </w:tr>
      <w:tr w:rsidR="00A87253" w:rsidRPr="00F72B2E" w:rsidTr="00A613E2">
        <w:trPr>
          <w:cantSplit/>
          <w:trHeight w:val="276"/>
        </w:trPr>
        <w:tc>
          <w:tcPr>
            <w:tcW w:w="2268" w:type="dxa"/>
            <w:vMerge w:val="restart"/>
            <w:tcBorders>
              <w:right w:val="single" w:sz="4" w:space="0" w:color="000000"/>
            </w:tcBorders>
            <w:shd w:val="clear" w:color="auto" w:fill="auto"/>
            <w:hideMark/>
          </w:tcPr>
          <w:p w:rsidR="00A87253" w:rsidRPr="00816A59" w:rsidRDefault="00A87253" w:rsidP="003E7967">
            <w:pPr>
              <w:keepNext/>
              <w:tabs>
                <w:tab w:val="right" w:leader="dot" w:pos="2057"/>
              </w:tabs>
              <w:spacing w:after="0" w:line="240" w:lineRule="auto"/>
              <w:rPr>
                <w:rFonts w:ascii="Times New Roman" w:eastAsia="Times New Roman" w:hAnsi="Times New Roman" w:cs="Times New Roman"/>
                <w:bCs/>
                <w:color w:val="000000"/>
                <w:sz w:val="20"/>
                <w:szCs w:val="20"/>
                <w:lang w:eastAsia="pl-PL"/>
              </w:rPr>
            </w:pPr>
            <w:r w:rsidRPr="00816A59">
              <w:rPr>
                <w:rFonts w:ascii="Times New Roman" w:eastAsia="Times New Roman" w:hAnsi="Times New Roman" w:cs="Times New Roman"/>
                <w:bCs/>
                <w:color w:val="000000"/>
                <w:sz w:val="20"/>
                <w:szCs w:val="20"/>
                <w:lang w:eastAsia="pl-PL"/>
              </w:rPr>
              <w:t xml:space="preserve">Od 31 minut </w:t>
            </w:r>
            <w:r w:rsidRPr="00816A59">
              <w:rPr>
                <w:rFonts w:ascii="Times New Roman" w:eastAsia="Times New Roman" w:hAnsi="Times New Roman" w:cs="Times New Roman"/>
                <w:bCs/>
                <w:color w:val="000000"/>
                <w:sz w:val="20"/>
                <w:szCs w:val="20"/>
                <w:lang w:eastAsia="pl-PL"/>
              </w:rPr>
              <w:tab/>
              <w:t>a</w:t>
            </w:r>
          </w:p>
          <w:p w:rsidR="00A87253" w:rsidRPr="00816A59" w:rsidRDefault="00A87253" w:rsidP="003E7967">
            <w:pPr>
              <w:keepNext/>
              <w:tabs>
                <w:tab w:val="right" w:pos="2058"/>
              </w:tabs>
              <w:spacing w:after="0" w:line="240" w:lineRule="auto"/>
              <w:rPr>
                <w:rFonts w:ascii="Times New Roman" w:eastAsia="Times New Roman" w:hAnsi="Times New Roman" w:cs="Times New Roman"/>
                <w:bCs/>
                <w:color w:val="000000"/>
                <w:sz w:val="20"/>
                <w:szCs w:val="20"/>
                <w:lang w:eastAsia="pl-PL"/>
              </w:rPr>
            </w:pPr>
            <w:r w:rsidRPr="00816A59">
              <w:rPr>
                <w:rFonts w:ascii="Times New Roman" w:eastAsia="Times New Roman" w:hAnsi="Times New Roman" w:cs="Times New Roman"/>
                <w:bCs/>
                <w:color w:val="000000"/>
                <w:sz w:val="20"/>
                <w:szCs w:val="20"/>
                <w:lang w:eastAsia="pl-PL"/>
              </w:rPr>
              <w:t>do 1 godziny</w:t>
            </w:r>
            <w:r w:rsidRPr="00816A59">
              <w:rPr>
                <w:rFonts w:ascii="Times New Roman" w:eastAsia="Times New Roman" w:hAnsi="Times New Roman" w:cs="Times New Roman"/>
                <w:bCs/>
                <w:color w:val="000000"/>
                <w:sz w:val="20"/>
                <w:szCs w:val="20"/>
                <w:lang w:eastAsia="pl-PL"/>
              </w:rPr>
              <w:tab/>
              <w:t>b</w:t>
            </w:r>
          </w:p>
          <w:p w:rsidR="00A87253" w:rsidRPr="00816A59" w:rsidRDefault="00A87253" w:rsidP="003E7967">
            <w:pPr>
              <w:keepNext/>
              <w:tabs>
                <w:tab w:val="right" w:pos="2058"/>
              </w:tabs>
              <w:spacing w:after="0" w:line="240" w:lineRule="auto"/>
              <w:rPr>
                <w:rFonts w:ascii="Times New Roman" w:eastAsia="Times New Roman" w:hAnsi="Times New Roman" w:cs="Times New Roman"/>
                <w:bCs/>
                <w:color w:val="000000"/>
                <w:sz w:val="20"/>
                <w:szCs w:val="20"/>
                <w:lang w:eastAsia="pl-PL"/>
              </w:rPr>
            </w:pPr>
            <w:r w:rsidRPr="00816A59">
              <w:rPr>
                <w:rFonts w:ascii="Times New Roman" w:eastAsia="Times New Roman" w:hAnsi="Times New Roman" w:cs="Times New Roman"/>
                <w:bCs/>
                <w:color w:val="000000"/>
                <w:sz w:val="20"/>
                <w:szCs w:val="20"/>
                <w:lang w:eastAsia="pl-PL"/>
              </w:rPr>
              <w:tab/>
              <w:t>c</w:t>
            </w:r>
          </w:p>
        </w:tc>
        <w:tc>
          <w:tcPr>
            <w:tcW w:w="1122" w:type="dxa"/>
            <w:tcBorders>
              <w:left w:val="single" w:sz="4" w:space="0" w:color="000000"/>
              <w:righ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1713,0</w:t>
            </w:r>
          </w:p>
        </w:tc>
        <w:tc>
          <w:tcPr>
            <w:tcW w:w="1122" w:type="dxa"/>
            <w:tcBorders>
              <w:left w:val="single" w:sz="4" w:space="0" w:color="000000"/>
              <w:righ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354,8</w:t>
            </w:r>
          </w:p>
        </w:tc>
        <w:tc>
          <w:tcPr>
            <w:tcW w:w="1122" w:type="dxa"/>
            <w:tcBorders>
              <w:left w:val="single" w:sz="4" w:space="0" w:color="000000"/>
              <w:right w:val="single" w:sz="4" w:space="0" w:color="000000"/>
            </w:tcBorders>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24,2</w:t>
            </w:r>
          </w:p>
        </w:tc>
        <w:tc>
          <w:tcPr>
            <w:tcW w:w="1122" w:type="dxa"/>
            <w:tcBorders>
              <w:left w:val="single" w:sz="4" w:space="0" w:color="000000"/>
              <w:righ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6,0</w:t>
            </w:r>
          </w:p>
        </w:tc>
        <w:tc>
          <w:tcPr>
            <w:tcW w:w="1122" w:type="dxa"/>
            <w:tcBorders>
              <w:left w:val="single" w:sz="4" w:space="0" w:color="000000"/>
              <w:righ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2,7</w:t>
            </w:r>
          </w:p>
        </w:tc>
        <w:tc>
          <w:tcPr>
            <w:tcW w:w="1123" w:type="dxa"/>
            <w:tcBorders>
              <w:lef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1,1</w:t>
            </w:r>
          </w:p>
        </w:tc>
      </w:tr>
      <w:tr w:rsidR="00A87253" w:rsidRPr="00F72B2E" w:rsidTr="00A613E2">
        <w:trPr>
          <w:trHeight w:val="276"/>
        </w:trPr>
        <w:tc>
          <w:tcPr>
            <w:tcW w:w="2268" w:type="dxa"/>
            <w:vMerge/>
            <w:tcBorders>
              <w:right w:val="single" w:sz="4" w:space="0" w:color="000000"/>
            </w:tcBorders>
            <w:shd w:val="clear" w:color="auto" w:fill="auto"/>
            <w:hideMark/>
          </w:tcPr>
          <w:p w:rsidR="00A87253" w:rsidRPr="00816A59" w:rsidRDefault="00A87253" w:rsidP="00ED4CA3">
            <w:pPr>
              <w:keepNext/>
              <w:spacing w:after="0" w:line="240" w:lineRule="auto"/>
              <w:rPr>
                <w:rFonts w:ascii="Times New Roman" w:eastAsia="Times New Roman" w:hAnsi="Times New Roman" w:cs="Times New Roman"/>
                <w:bCs/>
                <w:color w:val="000000"/>
                <w:sz w:val="20"/>
                <w:szCs w:val="20"/>
                <w:lang w:eastAsia="pl-PL"/>
              </w:rPr>
            </w:pPr>
          </w:p>
        </w:tc>
        <w:tc>
          <w:tcPr>
            <w:tcW w:w="1122" w:type="dxa"/>
            <w:tcBorders>
              <w:left w:val="single" w:sz="4" w:space="0" w:color="000000"/>
              <w:righ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81,5</w:t>
            </w:r>
          </w:p>
        </w:tc>
        <w:tc>
          <w:tcPr>
            <w:tcW w:w="1122" w:type="dxa"/>
            <w:tcBorders>
              <w:left w:val="single" w:sz="4" w:space="0" w:color="000000"/>
              <w:right w:val="single" w:sz="4" w:space="0" w:color="000000"/>
            </w:tcBorders>
            <w:shd w:val="clear" w:color="auto" w:fill="auto"/>
            <w:hideMark/>
          </w:tcPr>
          <w:p w:rsidR="00A87253" w:rsidRPr="00F72B2E" w:rsidRDefault="00B810D2"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16</w:t>
            </w:r>
            <w:r w:rsidR="00A87253" w:rsidRPr="00F72B2E">
              <w:rPr>
                <w:rFonts w:ascii="Times New Roman" w:eastAsia="Times New Roman" w:hAnsi="Times New Roman" w:cs="Times New Roman"/>
                <w:color w:val="000000"/>
                <w:sz w:val="20"/>
                <w:szCs w:val="20"/>
                <w:lang w:eastAsia="pl-PL"/>
              </w:rPr>
              <w:t>,</w:t>
            </w:r>
            <w:r w:rsidRPr="00F72B2E">
              <w:rPr>
                <w:rFonts w:ascii="Times New Roman" w:eastAsia="Times New Roman" w:hAnsi="Times New Roman" w:cs="Times New Roman"/>
                <w:color w:val="000000"/>
                <w:sz w:val="20"/>
                <w:szCs w:val="20"/>
                <w:lang w:eastAsia="pl-PL"/>
              </w:rPr>
              <w:t>9</w:t>
            </w:r>
          </w:p>
        </w:tc>
        <w:tc>
          <w:tcPr>
            <w:tcW w:w="1122" w:type="dxa"/>
            <w:tcBorders>
              <w:left w:val="single" w:sz="4" w:space="0" w:color="000000"/>
              <w:right w:val="single" w:sz="4" w:space="0" w:color="000000"/>
            </w:tcBorders>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1,2</w:t>
            </w:r>
          </w:p>
        </w:tc>
        <w:tc>
          <w:tcPr>
            <w:tcW w:w="1122" w:type="dxa"/>
            <w:tcBorders>
              <w:left w:val="single" w:sz="4" w:space="0" w:color="000000"/>
              <w:righ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0,3</w:t>
            </w:r>
          </w:p>
        </w:tc>
        <w:tc>
          <w:tcPr>
            <w:tcW w:w="1122" w:type="dxa"/>
            <w:tcBorders>
              <w:left w:val="single" w:sz="4" w:space="0" w:color="000000"/>
              <w:righ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0,1</w:t>
            </w:r>
          </w:p>
        </w:tc>
        <w:tc>
          <w:tcPr>
            <w:tcW w:w="1123" w:type="dxa"/>
            <w:tcBorders>
              <w:lef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0,1</w:t>
            </w:r>
          </w:p>
        </w:tc>
      </w:tr>
      <w:tr w:rsidR="00A87253" w:rsidRPr="00F72B2E" w:rsidTr="00A613E2">
        <w:trPr>
          <w:trHeight w:val="288"/>
        </w:trPr>
        <w:tc>
          <w:tcPr>
            <w:tcW w:w="2268" w:type="dxa"/>
            <w:vMerge/>
            <w:tcBorders>
              <w:right w:val="single" w:sz="4" w:space="0" w:color="000000"/>
            </w:tcBorders>
            <w:shd w:val="clear" w:color="auto" w:fill="auto"/>
            <w:hideMark/>
          </w:tcPr>
          <w:p w:rsidR="00A87253" w:rsidRPr="00816A59" w:rsidRDefault="00A87253" w:rsidP="00ED4CA3">
            <w:pPr>
              <w:keepNext/>
              <w:spacing w:after="0" w:line="240" w:lineRule="auto"/>
              <w:rPr>
                <w:rFonts w:ascii="Times New Roman" w:eastAsia="Times New Roman" w:hAnsi="Times New Roman" w:cs="Times New Roman"/>
                <w:bCs/>
                <w:color w:val="000000"/>
                <w:sz w:val="20"/>
                <w:szCs w:val="20"/>
                <w:lang w:eastAsia="pl-PL"/>
              </w:rPr>
            </w:pPr>
          </w:p>
        </w:tc>
        <w:tc>
          <w:tcPr>
            <w:tcW w:w="1122" w:type="dxa"/>
            <w:tcBorders>
              <w:left w:val="single" w:sz="4" w:space="0" w:color="000000"/>
              <w:righ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22,9</w:t>
            </w:r>
          </w:p>
        </w:tc>
        <w:tc>
          <w:tcPr>
            <w:tcW w:w="1122" w:type="dxa"/>
            <w:tcBorders>
              <w:left w:val="single" w:sz="4" w:space="0" w:color="000000"/>
              <w:righ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24,5</w:t>
            </w:r>
          </w:p>
        </w:tc>
        <w:tc>
          <w:tcPr>
            <w:tcW w:w="1122" w:type="dxa"/>
            <w:tcBorders>
              <w:left w:val="single" w:sz="4" w:space="0" w:color="000000"/>
              <w:right w:val="single" w:sz="4" w:space="0" w:color="000000"/>
            </w:tcBorders>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17,3</w:t>
            </w:r>
          </w:p>
        </w:tc>
        <w:tc>
          <w:tcPr>
            <w:tcW w:w="1122" w:type="dxa"/>
            <w:tcBorders>
              <w:left w:val="single" w:sz="4" w:space="0" w:color="000000"/>
              <w:righ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15,7</w:t>
            </w:r>
          </w:p>
        </w:tc>
        <w:tc>
          <w:tcPr>
            <w:tcW w:w="1122" w:type="dxa"/>
            <w:tcBorders>
              <w:left w:val="single" w:sz="4" w:space="0" w:color="000000"/>
              <w:righ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12,8</w:t>
            </w:r>
          </w:p>
        </w:tc>
        <w:tc>
          <w:tcPr>
            <w:tcW w:w="1123" w:type="dxa"/>
            <w:tcBorders>
              <w:lef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11,8</w:t>
            </w:r>
          </w:p>
        </w:tc>
      </w:tr>
      <w:tr w:rsidR="00A87253" w:rsidRPr="00F72B2E" w:rsidTr="00A613E2">
        <w:trPr>
          <w:cantSplit/>
          <w:trHeight w:val="276"/>
        </w:trPr>
        <w:tc>
          <w:tcPr>
            <w:tcW w:w="2268" w:type="dxa"/>
            <w:vMerge w:val="restart"/>
            <w:tcBorders>
              <w:right w:val="single" w:sz="4" w:space="0" w:color="000000"/>
            </w:tcBorders>
            <w:shd w:val="clear" w:color="auto" w:fill="auto"/>
            <w:hideMark/>
          </w:tcPr>
          <w:p w:rsidR="00A87253" w:rsidRPr="00816A59" w:rsidRDefault="00A87253" w:rsidP="003E7967">
            <w:pPr>
              <w:keepNext/>
              <w:tabs>
                <w:tab w:val="right" w:leader="dot" w:pos="2057"/>
              </w:tabs>
              <w:spacing w:after="0" w:line="240" w:lineRule="auto"/>
              <w:rPr>
                <w:rFonts w:ascii="Times New Roman" w:eastAsia="Times New Roman" w:hAnsi="Times New Roman" w:cs="Times New Roman"/>
                <w:bCs/>
                <w:color w:val="000000"/>
                <w:sz w:val="20"/>
                <w:szCs w:val="20"/>
                <w:lang w:eastAsia="pl-PL"/>
              </w:rPr>
            </w:pPr>
            <w:r w:rsidRPr="00816A59">
              <w:rPr>
                <w:rFonts w:ascii="Times New Roman" w:eastAsia="Times New Roman" w:hAnsi="Times New Roman" w:cs="Times New Roman"/>
                <w:bCs/>
                <w:color w:val="000000"/>
                <w:sz w:val="20"/>
                <w:szCs w:val="20"/>
                <w:lang w:eastAsia="pl-PL"/>
              </w:rPr>
              <w:t xml:space="preserve">Powyżej </w:t>
            </w:r>
            <w:r w:rsidRPr="00816A59">
              <w:rPr>
                <w:rFonts w:ascii="Times New Roman" w:eastAsia="Times New Roman" w:hAnsi="Times New Roman" w:cs="Times New Roman"/>
                <w:bCs/>
                <w:color w:val="000000"/>
                <w:sz w:val="20"/>
                <w:szCs w:val="20"/>
                <w:lang w:eastAsia="pl-PL"/>
              </w:rPr>
              <w:tab/>
              <w:t>a</w:t>
            </w:r>
          </w:p>
          <w:p w:rsidR="00A87253" w:rsidRPr="00816A59" w:rsidRDefault="00A87253" w:rsidP="003E7967">
            <w:pPr>
              <w:keepNext/>
              <w:tabs>
                <w:tab w:val="right" w:pos="2058"/>
              </w:tabs>
              <w:spacing w:after="0" w:line="240" w:lineRule="auto"/>
              <w:rPr>
                <w:rFonts w:ascii="Times New Roman" w:eastAsia="Times New Roman" w:hAnsi="Times New Roman" w:cs="Times New Roman"/>
                <w:bCs/>
                <w:color w:val="000000"/>
                <w:sz w:val="20"/>
                <w:szCs w:val="20"/>
                <w:lang w:eastAsia="pl-PL"/>
              </w:rPr>
            </w:pPr>
            <w:r w:rsidRPr="00816A59">
              <w:rPr>
                <w:rFonts w:ascii="Times New Roman" w:eastAsia="Times New Roman" w:hAnsi="Times New Roman" w:cs="Times New Roman"/>
                <w:bCs/>
                <w:color w:val="000000"/>
                <w:sz w:val="20"/>
                <w:szCs w:val="20"/>
                <w:lang w:eastAsia="pl-PL"/>
              </w:rPr>
              <w:t xml:space="preserve">1 godziny </w:t>
            </w:r>
            <w:r w:rsidRPr="00816A59">
              <w:rPr>
                <w:rFonts w:ascii="Times New Roman" w:eastAsia="Times New Roman" w:hAnsi="Times New Roman" w:cs="Times New Roman"/>
                <w:bCs/>
                <w:color w:val="000000"/>
                <w:sz w:val="20"/>
                <w:szCs w:val="20"/>
                <w:lang w:eastAsia="pl-PL"/>
              </w:rPr>
              <w:tab/>
              <w:t>b</w:t>
            </w:r>
          </w:p>
          <w:p w:rsidR="00A87253" w:rsidRPr="00816A59" w:rsidRDefault="00A87253" w:rsidP="003E7967">
            <w:pPr>
              <w:keepNext/>
              <w:tabs>
                <w:tab w:val="right" w:pos="2058"/>
              </w:tabs>
              <w:spacing w:after="0" w:line="240" w:lineRule="auto"/>
              <w:rPr>
                <w:rFonts w:ascii="Times New Roman" w:eastAsia="Times New Roman" w:hAnsi="Times New Roman" w:cs="Times New Roman"/>
                <w:bCs/>
                <w:color w:val="000000"/>
                <w:sz w:val="20"/>
                <w:szCs w:val="20"/>
                <w:lang w:eastAsia="pl-PL"/>
              </w:rPr>
            </w:pPr>
            <w:r w:rsidRPr="00816A59">
              <w:rPr>
                <w:rFonts w:ascii="Times New Roman" w:eastAsia="Times New Roman" w:hAnsi="Times New Roman" w:cs="Times New Roman"/>
                <w:bCs/>
                <w:color w:val="000000"/>
                <w:sz w:val="20"/>
                <w:szCs w:val="20"/>
                <w:lang w:eastAsia="pl-PL"/>
              </w:rPr>
              <w:t>do 2 godzin</w:t>
            </w:r>
            <w:r w:rsidRPr="00816A59">
              <w:rPr>
                <w:rFonts w:ascii="Times New Roman" w:eastAsia="Times New Roman" w:hAnsi="Times New Roman" w:cs="Times New Roman"/>
                <w:bCs/>
                <w:color w:val="000000"/>
                <w:sz w:val="20"/>
                <w:szCs w:val="20"/>
                <w:lang w:eastAsia="pl-PL"/>
              </w:rPr>
              <w:tab/>
              <w:t>c</w:t>
            </w:r>
          </w:p>
        </w:tc>
        <w:tc>
          <w:tcPr>
            <w:tcW w:w="1122" w:type="dxa"/>
            <w:tcBorders>
              <w:left w:val="single" w:sz="4" w:space="0" w:color="000000"/>
              <w:righ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370,7</w:t>
            </w:r>
          </w:p>
        </w:tc>
        <w:tc>
          <w:tcPr>
            <w:tcW w:w="1122" w:type="dxa"/>
            <w:tcBorders>
              <w:left w:val="single" w:sz="4" w:space="0" w:color="000000"/>
              <w:righ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117,4</w:t>
            </w:r>
          </w:p>
        </w:tc>
        <w:tc>
          <w:tcPr>
            <w:tcW w:w="1122" w:type="dxa"/>
            <w:tcBorders>
              <w:left w:val="single" w:sz="4" w:space="0" w:color="000000"/>
              <w:right w:val="single" w:sz="4" w:space="0" w:color="000000"/>
            </w:tcBorders>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31,8</w:t>
            </w:r>
          </w:p>
        </w:tc>
        <w:tc>
          <w:tcPr>
            <w:tcW w:w="1122" w:type="dxa"/>
            <w:tcBorders>
              <w:left w:val="single" w:sz="4" w:space="0" w:color="000000"/>
              <w:righ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6,5</w:t>
            </w:r>
          </w:p>
        </w:tc>
        <w:tc>
          <w:tcPr>
            <w:tcW w:w="1122" w:type="dxa"/>
            <w:tcBorders>
              <w:left w:val="single" w:sz="4" w:space="0" w:color="000000"/>
              <w:righ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3,5</w:t>
            </w:r>
          </w:p>
        </w:tc>
        <w:tc>
          <w:tcPr>
            <w:tcW w:w="1123" w:type="dxa"/>
            <w:tcBorders>
              <w:lef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1,0</w:t>
            </w:r>
          </w:p>
        </w:tc>
      </w:tr>
      <w:tr w:rsidR="00A87253" w:rsidRPr="00F72B2E" w:rsidTr="00A613E2">
        <w:trPr>
          <w:trHeight w:val="276"/>
        </w:trPr>
        <w:tc>
          <w:tcPr>
            <w:tcW w:w="2268" w:type="dxa"/>
            <w:vMerge/>
            <w:tcBorders>
              <w:right w:val="single" w:sz="4" w:space="0" w:color="000000"/>
            </w:tcBorders>
            <w:shd w:val="clear" w:color="auto" w:fill="auto"/>
            <w:hideMark/>
          </w:tcPr>
          <w:p w:rsidR="00A87253" w:rsidRPr="00816A59" w:rsidRDefault="00A87253" w:rsidP="00ED4CA3">
            <w:pPr>
              <w:keepNext/>
              <w:spacing w:after="0" w:line="240" w:lineRule="auto"/>
              <w:rPr>
                <w:rFonts w:ascii="Times New Roman" w:eastAsia="Times New Roman" w:hAnsi="Times New Roman" w:cs="Times New Roman"/>
                <w:bCs/>
                <w:color w:val="000000"/>
                <w:sz w:val="20"/>
                <w:szCs w:val="20"/>
                <w:lang w:eastAsia="pl-PL"/>
              </w:rPr>
            </w:pPr>
          </w:p>
        </w:tc>
        <w:tc>
          <w:tcPr>
            <w:tcW w:w="1122" w:type="dxa"/>
            <w:tcBorders>
              <w:left w:val="single" w:sz="4" w:space="0" w:color="000000"/>
              <w:righ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69,8</w:t>
            </w:r>
          </w:p>
        </w:tc>
        <w:tc>
          <w:tcPr>
            <w:tcW w:w="1122" w:type="dxa"/>
            <w:tcBorders>
              <w:left w:val="single" w:sz="4" w:space="0" w:color="000000"/>
              <w:righ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22,1</w:t>
            </w:r>
          </w:p>
        </w:tc>
        <w:tc>
          <w:tcPr>
            <w:tcW w:w="1122" w:type="dxa"/>
            <w:tcBorders>
              <w:left w:val="single" w:sz="4" w:space="0" w:color="000000"/>
              <w:right w:val="single" w:sz="4" w:space="0" w:color="000000"/>
            </w:tcBorders>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6,0</w:t>
            </w:r>
          </w:p>
        </w:tc>
        <w:tc>
          <w:tcPr>
            <w:tcW w:w="1122" w:type="dxa"/>
            <w:tcBorders>
              <w:left w:val="single" w:sz="4" w:space="0" w:color="000000"/>
              <w:righ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1,2</w:t>
            </w:r>
          </w:p>
        </w:tc>
        <w:tc>
          <w:tcPr>
            <w:tcW w:w="1122" w:type="dxa"/>
            <w:tcBorders>
              <w:left w:val="single" w:sz="4" w:space="0" w:color="000000"/>
              <w:righ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0,7</w:t>
            </w:r>
          </w:p>
        </w:tc>
        <w:tc>
          <w:tcPr>
            <w:tcW w:w="1123" w:type="dxa"/>
            <w:tcBorders>
              <w:lef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0,2</w:t>
            </w:r>
          </w:p>
        </w:tc>
      </w:tr>
      <w:tr w:rsidR="00A87253" w:rsidRPr="00F72B2E" w:rsidTr="00A613E2">
        <w:trPr>
          <w:trHeight w:val="288"/>
        </w:trPr>
        <w:tc>
          <w:tcPr>
            <w:tcW w:w="2268" w:type="dxa"/>
            <w:vMerge/>
            <w:tcBorders>
              <w:right w:val="single" w:sz="4" w:space="0" w:color="000000"/>
            </w:tcBorders>
            <w:shd w:val="clear" w:color="auto" w:fill="auto"/>
            <w:hideMark/>
          </w:tcPr>
          <w:p w:rsidR="00A87253" w:rsidRPr="00816A59" w:rsidRDefault="00A87253" w:rsidP="00ED4CA3">
            <w:pPr>
              <w:keepNext/>
              <w:spacing w:after="0" w:line="240" w:lineRule="auto"/>
              <w:rPr>
                <w:rFonts w:ascii="Times New Roman" w:eastAsia="Times New Roman" w:hAnsi="Times New Roman" w:cs="Times New Roman"/>
                <w:bCs/>
                <w:color w:val="000000"/>
                <w:sz w:val="20"/>
                <w:szCs w:val="20"/>
                <w:lang w:eastAsia="pl-PL"/>
              </w:rPr>
            </w:pPr>
          </w:p>
        </w:tc>
        <w:tc>
          <w:tcPr>
            <w:tcW w:w="1122" w:type="dxa"/>
            <w:tcBorders>
              <w:left w:val="single" w:sz="4" w:space="0" w:color="000000"/>
              <w:righ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5,0</w:t>
            </w:r>
          </w:p>
        </w:tc>
        <w:tc>
          <w:tcPr>
            <w:tcW w:w="1122" w:type="dxa"/>
            <w:tcBorders>
              <w:left w:val="single" w:sz="4" w:space="0" w:color="000000"/>
              <w:righ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8,1</w:t>
            </w:r>
          </w:p>
        </w:tc>
        <w:tc>
          <w:tcPr>
            <w:tcW w:w="1122" w:type="dxa"/>
            <w:tcBorders>
              <w:left w:val="single" w:sz="4" w:space="0" w:color="000000"/>
              <w:right w:val="single" w:sz="4" w:space="0" w:color="000000"/>
            </w:tcBorders>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22,8</w:t>
            </w:r>
          </w:p>
        </w:tc>
        <w:tc>
          <w:tcPr>
            <w:tcW w:w="1122" w:type="dxa"/>
            <w:tcBorders>
              <w:left w:val="single" w:sz="4" w:space="0" w:color="000000"/>
              <w:righ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17,1</w:t>
            </w:r>
          </w:p>
        </w:tc>
        <w:tc>
          <w:tcPr>
            <w:tcW w:w="1122" w:type="dxa"/>
            <w:tcBorders>
              <w:left w:val="single" w:sz="4" w:space="0" w:color="000000"/>
              <w:righ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16,4</w:t>
            </w:r>
          </w:p>
        </w:tc>
        <w:tc>
          <w:tcPr>
            <w:tcW w:w="1123" w:type="dxa"/>
            <w:tcBorders>
              <w:lef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10,8</w:t>
            </w:r>
          </w:p>
        </w:tc>
      </w:tr>
      <w:tr w:rsidR="00A87253" w:rsidRPr="00F72B2E" w:rsidTr="00A613E2">
        <w:trPr>
          <w:cantSplit/>
          <w:trHeight w:val="276"/>
        </w:trPr>
        <w:tc>
          <w:tcPr>
            <w:tcW w:w="2268" w:type="dxa"/>
            <w:vMerge w:val="restart"/>
            <w:tcBorders>
              <w:right w:val="single" w:sz="4" w:space="0" w:color="000000"/>
            </w:tcBorders>
            <w:shd w:val="clear" w:color="auto" w:fill="auto"/>
            <w:hideMark/>
          </w:tcPr>
          <w:p w:rsidR="00A87253" w:rsidRPr="00816A59" w:rsidRDefault="00A87253" w:rsidP="003E7967">
            <w:pPr>
              <w:keepNext/>
              <w:tabs>
                <w:tab w:val="right" w:leader="dot" w:pos="2057"/>
              </w:tabs>
              <w:spacing w:after="0" w:line="240" w:lineRule="auto"/>
              <w:rPr>
                <w:rFonts w:ascii="Times New Roman" w:eastAsia="Times New Roman" w:hAnsi="Times New Roman" w:cs="Times New Roman"/>
                <w:bCs/>
                <w:color w:val="000000"/>
                <w:sz w:val="20"/>
                <w:szCs w:val="20"/>
                <w:lang w:eastAsia="pl-PL"/>
              </w:rPr>
            </w:pPr>
            <w:r w:rsidRPr="00816A59">
              <w:rPr>
                <w:rFonts w:ascii="Times New Roman" w:eastAsia="Times New Roman" w:hAnsi="Times New Roman" w:cs="Times New Roman"/>
                <w:bCs/>
                <w:color w:val="000000"/>
                <w:sz w:val="20"/>
                <w:szCs w:val="20"/>
                <w:lang w:eastAsia="pl-PL"/>
              </w:rPr>
              <w:t xml:space="preserve">Powyżej </w:t>
            </w:r>
            <w:r w:rsidRPr="00816A59">
              <w:rPr>
                <w:rFonts w:ascii="Times New Roman" w:eastAsia="Times New Roman" w:hAnsi="Times New Roman" w:cs="Times New Roman"/>
                <w:bCs/>
                <w:color w:val="000000"/>
                <w:sz w:val="20"/>
                <w:szCs w:val="20"/>
                <w:lang w:eastAsia="pl-PL"/>
              </w:rPr>
              <w:tab/>
              <w:t>a</w:t>
            </w:r>
          </w:p>
          <w:p w:rsidR="00A87253" w:rsidRPr="00816A59" w:rsidRDefault="00A87253" w:rsidP="003E7967">
            <w:pPr>
              <w:keepNext/>
              <w:tabs>
                <w:tab w:val="right" w:pos="2058"/>
              </w:tabs>
              <w:spacing w:after="0" w:line="240" w:lineRule="auto"/>
              <w:rPr>
                <w:rFonts w:ascii="Times New Roman" w:eastAsia="Times New Roman" w:hAnsi="Times New Roman" w:cs="Times New Roman"/>
                <w:bCs/>
                <w:color w:val="000000"/>
                <w:sz w:val="20"/>
                <w:szCs w:val="20"/>
                <w:lang w:eastAsia="pl-PL"/>
              </w:rPr>
            </w:pPr>
            <w:r w:rsidRPr="00816A59">
              <w:rPr>
                <w:rFonts w:ascii="Times New Roman" w:eastAsia="Times New Roman" w:hAnsi="Times New Roman" w:cs="Times New Roman"/>
                <w:bCs/>
                <w:color w:val="000000"/>
                <w:sz w:val="20"/>
                <w:szCs w:val="20"/>
                <w:lang w:eastAsia="pl-PL"/>
              </w:rPr>
              <w:t>2 godzin</w:t>
            </w:r>
            <w:r w:rsidRPr="00816A59">
              <w:rPr>
                <w:rFonts w:ascii="Times New Roman" w:eastAsia="Times New Roman" w:hAnsi="Times New Roman" w:cs="Times New Roman"/>
                <w:bCs/>
                <w:color w:val="000000"/>
                <w:sz w:val="20"/>
                <w:szCs w:val="20"/>
                <w:lang w:eastAsia="pl-PL"/>
              </w:rPr>
              <w:tab/>
              <w:t>b</w:t>
            </w:r>
          </w:p>
          <w:p w:rsidR="00A87253" w:rsidRPr="00816A59" w:rsidRDefault="00A87253" w:rsidP="003E7967">
            <w:pPr>
              <w:keepNext/>
              <w:tabs>
                <w:tab w:val="right" w:pos="2058"/>
              </w:tabs>
              <w:spacing w:after="0" w:line="240" w:lineRule="auto"/>
              <w:rPr>
                <w:rFonts w:ascii="Times New Roman" w:eastAsia="Times New Roman" w:hAnsi="Times New Roman" w:cs="Times New Roman"/>
                <w:bCs/>
                <w:color w:val="000000"/>
                <w:sz w:val="20"/>
                <w:szCs w:val="20"/>
                <w:lang w:eastAsia="pl-PL"/>
              </w:rPr>
            </w:pPr>
            <w:r w:rsidRPr="00816A59">
              <w:rPr>
                <w:rFonts w:ascii="Times New Roman" w:eastAsia="Times New Roman" w:hAnsi="Times New Roman" w:cs="Times New Roman"/>
                <w:bCs/>
                <w:color w:val="000000"/>
                <w:sz w:val="20"/>
                <w:szCs w:val="20"/>
                <w:lang w:eastAsia="pl-PL"/>
              </w:rPr>
              <w:tab/>
              <w:t>c</w:t>
            </w:r>
          </w:p>
        </w:tc>
        <w:tc>
          <w:tcPr>
            <w:tcW w:w="1122" w:type="dxa"/>
            <w:tcBorders>
              <w:left w:val="single" w:sz="4" w:space="0" w:color="000000"/>
              <w:righ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42,2</w:t>
            </w:r>
          </w:p>
        </w:tc>
        <w:tc>
          <w:tcPr>
            <w:tcW w:w="1122" w:type="dxa"/>
            <w:tcBorders>
              <w:left w:val="single" w:sz="4" w:space="0" w:color="000000"/>
              <w:righ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27,3</w:t>
            </w:r>
          </w:p>
        </w:tc>
        <w:tc>
          <w:tcPr>
            <w:tcW w:w="1122" w:type="dxa"/>
            <w:tcBorders>
              <w:left w:val="single" w:sz="4" w:space="0" w:color="000000"/>
              <w:right w:val="single" w:sz="4" w:space="0" w:color="000000"/>
            </w:tcBorders>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46,4</w:t>
            </w:r>
          </w:p>
        </w:tc>
        <w:tc>
          <w:tcPr>
            <w:tcW w:w="1122" w:type="dxa"/>
            <w:tcBorders>
              <w:left w:val="single" w:sz="4" w:space="0" w:color="000000"/>
              <w:righ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17,2</w:t>
            </w:r>
          </w:p>
        </w:tc>
        <w:tc>
          <w:tcPr>
            <w:tcW w:w="1122" w:type="dxa"/>
            <w:tcBorders>
              <w:left w:val="single" w:sz="4" w:space="0" w:color="000000"/>
              <w:righ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11,7</w:t>
            </w:r>
          </w:p>
        </w:tc>
        <w:tc>
          <w:tcPr>
            <w:tcW w:w="1123" w:type="dxa"/>
            <w:tcBorders>
              <w:left w:val="single" w:sz="4" w:space="0" w:color="000000"/>
            </w:tcBorders>
            <w:shd w:val="clear" w:color="auto" w:fill="auto"/>
            <w:hideMark/>
          </w:tcPr>
          <w:p w:rsidR="00A87253" w:rsidRPr="00F72B2E" w:rsidRDefault="00A87253" w:rsidP="00ED4CA3">
            <w:pPr>
              <w:keepNext/>
              <w:spacing w:after="0" w:line="240" w:lineRule="auto"/>
              <w:jc w:val="right"/>
              <w:rPr>
                <w:rFonts w:ascii="Times New Roman" w:eastAsia="Times New Roman" w:hAnsi="Times New Roman" w:cs="Times New Roman"/>
                <w:color w:val="000000"/>
                <w:sz w:val="20"/>
                <w:szCs w:val="20"/>
                <w:lang w:eastAsia="pl-PL"/>
              </w:rPr>
            </w:pPr>
            <w:r w:rsidRPr="00F72B2E">
              <w:rPr>
                <w:rFonts w:ascii="Times New Roman" w:eastAsia="Times New Roman" w:hAnsi="Times New Roman" w:cs="Times New Roman"/>
                <w:color w:val="000000"/>
                <w:sz w:val="20"/>
                <w:szCs w:val="20"/>
                <w:lang w:eastAsia="pl-PL"/>
              </w:rPr>
              <w:t>5,5</w:t>
            </w:r>
          </w:p>
        </w:tc>
      </w:tr>
      <w:tr w:rsidR="00A87253" w:rsidRPr="0024503A" w:rsidTr="00A613E2">
        <w:trPr>
          <w:trHeight w:val="276"/>
        </w:trPr>
        <w:tc>
          <w:tcPr>
            <w:tcW w:w="2268" w:type="dxa"/>
            <w:vMerge/>
            <w:tcBorders>
              <w:top w:val="nil"/>
              <w:right w:val="single" w:sz="4" w:space="0" w:color="000000"/>
            </w:tcBorders>
            <w:shd w:val="clear" w:color="auto" w:fill="auto"/>
            <w:vAlign w:val="center"/>
            <w:hideMark/>
          </w:tcPr>
          <w:p w:rsidR="00A87253" w:rsidRPr="0024503A" w:rsidRDefault="00A87253" w:rsidP="00ED4CA3">
            <w:pPr>
              <w:keepNext/>
              <w:spacing w:after="0" w:line="240" w:lineRule="auto"/>
              <w:rPr>
                <w:rFonts w:asciiTheme="majorHAnsi" w:eastAsia="Times New Roman" w:hAnsiTheme="majorHAnsi" w:cstheme="minorHAnsi"/>
                <w:bCs/>
                <w:color w:val="000000"/>
                <w:lang w:eastAsia="pl-PL"/>
              </w:rPr>
            </w:pPr>
          </w:p>
        </w:tc>
        <w:tc>
          <w:tcPr>
            <w:tcW w:w="1122" w:type="dxa"/>
            <w:tcBorders>
              <w:top w:val="nil"/>
              <w:left w:val="single" w:sz="4" w:space="0" w:color="000000"/>
              <w:right w:val="single" w:sz="4" w:space="0" w:color="000000"/>
            </w:tcBorders>
            <w:shd w:val="clear" w:color="auto" w:fill="auto"/>
            <w:hideMark/>
          </w:tcPr>
          <w:p w:rsidR="00A87253" w:rsidRPr="0024503A" w:rsidRDefault="00A87253" w:rsidP="00ED4CA3">
            <w:pPr>
              <w:keepNext/>
              <w:spacing w:after="0" w:line="240" w:lineRule="auto"/>
              <w:jc w:val="right"/>
              <w:rPr>
                <w:rFonts w:asciiTheme="majorHAnsi" w:eastAsia="Times New Roman" w:hAnsiTheme="majorHAnsi" w:cstheme="minorHAnsi"/>
                <w:color w:val="000000"/>
                <w:sz w:val="20"/>
                <w:szCs w:val="20"/>
                <w:lang w:eastAsia="pl-PL"/>
              </w:rPr>
            </w:pPr>
            <w:r w:rsidRPr="0024503A">
              <w:rPr>
                <w:rFonts w:asciiTheme="majorHAnsi" w:eastAsia="Times New Roman" w:hAnsiTheme="majorHAnsi" w:cstheme="minorHAnsi"/>
                <w:color w:val="000000"/>
                <w:sz w:val="20"/>
                <w:szCs w:val="20"/>
                <w:lang w:eastAsia="pl-PL"/>
              </w:rPr>
              <w:t>28,1</w:t>
            </w:r>
          </w:p>
        </w:tc>
        <w:tc>
          <w:tcPr>
            <w:tcW w:w="1122" w:type="dxa"/>
            <w:tcBorders>
              <w:top w:val="nil"/>
              <w:left w:val="single" w:sz="4" w:space="0" w:color="000000"/>
              <w:right w:val="single" w:sz="4" w:space="0" w:color="000000"/>
            </w:tcBorders>
            <w:shd w:val="clear" w:color="auto" w:fill="auto"/>
            <w:hideMark/>
          </w:tcPr>
          <w:p w:rsidR="00A87253" w:rsidRPr="0024503A" w:rsidRDefault="00A87253" w:rsidP="00ED4CA3">
            <w:pPr>
              <w:keepNext/>
              <w:spacing w:after="0" w:line="240" w:lineRule="auto"/>
              <w:jc w:val="right"/>
              <w:rPr>
                <w:rFonts w:asciiTheme="majorHAnsi" w:eastAsia="Times New Roman" w:hAnsiTheme="majorHAnsi" w:cstheme="minorHAnsi"/>
                <w:color w:val="000000"/>
                <w:sz w:val="20"/>
                <w:szCs w:val="20"/>
                <w:lang w:eastAsia="pl-PL"/>
              </w:rPr>
            </w:pPr>
            <w:r w:rsidRPr="0024503A">
              <w:rPr>
                <w:rFonts w:asciiTheme="majorHAnsi" w:eastAsia="Times New Roman" w:hAnsiTheme="majorHAnsi" w:cstheme="minorHAnsi"/>
                <w:color w:val="000000"/>
                <w:sz w:val="20"/>
                <w:szCs w:val="20"/>
                <w:lang w:eastAsia="pl-PL"/>
              </w:rPr>
              <w:t>18,1</w:t>
            </w:r>
          </w:p>
        </w:tc>
        <w:tc>
          <w:tcPr>
            <w:tcW w:w="1122" w:type="dxa"/>
            <w:tcBorders>
              <w:top w:val="nil"/>
              <w:left w:val="single" w:sz="4" w:space="0" w:color="000000"/>
              <w:right w:val="single" w:sz="4" w:space="0" w:color="000000"/>
            </w:tcBorders>
          </w:tcPr>
          <w:p w:rsidR="00A87253" w:rsidRPr="0024503A" w:rsidRDefault="00A87253" w:rsidP="00ED4CA3">
            <w:pPr>
              <w:keepNext/>
              <w:spacing w:after="0" w:line="240" w:lineRule="auto"/>
              <w:jc w:val="right"/>
              <w:rPr>
                <w:rFonts w:asciiTheme="majorHAnsi" w:eastAsia="Times New Roman" w:hAnsiTheme="majorHAnsi" w:cstheme="minorHAnsi"/>
                <w:color w:val="000000"/>
                <w:sz w:val="20"/>
                <w:szCs w:val="20"/>
                <w:lang w:eastAsia="pl-PL"/>
              </w:rPr>
            </w:pPr>
            <w:r w:rsidRPr="0024503A">
              <w:rPr>
                <w:rFonts w:asciiTheme="majorHAnsi" w:eastAsia="Times New Roman" w:hAnsiTheme="majorHAnsi" w:cstheme="minorHAnsi"/>
                <w:color w:val="000000"/>
                <w:sz w:val="20"/>
                <w:szCs w:val="20"/>
                <w:lang w:eastAsia="pl-PL"/>
              </w:rPr>
              <w:t>30,9</w:t>
            </w:r>
          </w:p>
        </w:tc>
        <w:tc>
          <w:tcPr>
            <w:tcW w:w="1122" w:type="dxa"/>
            <w:tcBorders>
              <w:top w:val="nil"/>
              <w:left w:val="single" w:sz="4" w:space="0" w:color="000000"/>
              <w:right w:val="single" w:sz="4" w:space="0" w:color="000000"/>
            </w:tcBorders>
            <w:shd w:val="clear" w:color="auto" w:fill="auto"/>
            <w:hideMark/>
          </w:tcPr>
          <w:p w:rsidR="00A87253" w:rsidRPr="0024503A" w:rsidRDefault="00A87253" w:rsidP="00ED4CA3">
            <w:pPr>
              <w:keepNext/>
              <w:spacing w:after="0" w:line="240" w:lineRule="auto"/>
              <w:jc w:val="right"/>
              <w:rPr>
                <w:rFonts w:asciiTheme="majorHAnsi" w:eastAsia="Times New Roman" w:hAnsiTheme="majorHAnsi" w:cstheme="minorHAnsi"/>
                <w:color w:val="000000"/>
                <w:sz w:val="20"/>
                <w:szCs w:val="20"/>
                <w:lang w:eastAsia="pl-PL"/>
              </w:rPr>
            </w:pPr>
            <w:r w:rsidRPr="0024503A">
              <w:rPr>
                <w:rFonts w:asciiTheme="majorHAnsi" w:eastAsia="Times New Roman" w:hAnsiTheme="majorHAnsi" w:cstheme="minorHAnsi"/>
                <w:color w:val="000000"/>
                <w:sz w:val="20"/>
                <w:szCs w:val="20"/>
                <w:lang w:eastAsia="pl-PL"/>
              </w:rPr>
              <w:t>11,4</w:t>
            </w:r>
          </w:p>
        </w:tc>
        <w:tc>
          <w:tcPr>
            <w:tcW w:w="1122" w:type="dxa"/>
            <w:tcBorders>
              <w:top w:val="nil"/>
              <w:left w:val="single" w:sz="4" w:space="0" w:color="000000"/>
              <w:right w:val="single" w:sz="4" w:space="0" w:color="000000"/>
            </w:tcBorders>
            <w:shd w:val="clear" w:color="auto" w:fill="auto"/>
            <w:hideMark/>
          </w:tcPr>
          <w:p w:rsidR="00A87253" w:rsidRPr="0024503A" w:rsidRDefault="00A87253" w:rsidP="00ED4CA3">
            <w:pPr>
              <w:keepNext/>
              <w:spacing w:after="0" w:line="240" w:lineRule="auto"/>
              <w:jc w:val="right"/>
              <w:rPr>
                <w:rFonts w:asciiTheme="majorHAnsi" w:eastAsia="Times New Roman" w:hAnsiTheme="majorHAnsi" w:cstheme="minorHAnsi"/>
                <w:color w:val="000000"/>
                <w:sz w:val="20"/>
                <w:szCs w:val="20"/>
                <w:lang w:eastAsia="pl-PL"/>
              </w:rPr>
            </w:pPr>
            <w:r w:rsidRPr="0024503A">
              <w:rPr>
                <w:rFonts w:asciiTheme="majorHAnsi" w:eastAsia="Times New Roman" w:hAnsiTheme="majorHAnsi" w:cstheme="minorHAnsi"/>
                <w:color w:val="000000"/>
                <w:sz w:val="20"/>
                <w:szCs w:val="20"/>
                <w:lang w:eastAsia="pl-PL"/>
              </w:rPr>
              <w:t>7,8</w:t>
            </w:r>
          </w:p>
        </w:tc>
        <w:tc>
          <w:tcPr>
            <w:tcW w:w="1123" w:type="dxa"/>
            <w:tcBorders>
              <w:top w:val="nil"/>
              <w:left w:val="single" w:sz="4" w:space="0" w:color="000000"/>
            </w:tcBorders>
            <w:shd w:val="clear" w:color="auto" w:fill="auto"/>
            <w:hideMark/>
          </w:tcPr>
          <w:p w:rsidR="00A87253" w:rsidRPr="0024503A" w:rsidRDefault="00A87253" w:rsidP="00ED4CA3">
            <w:pPr>
              <w:keepNext/>
              <w:spacing w:after="0" w:line="240" w:lineRule="auto"/>
              <w:jc w:val="right"/>
              <w:rPr>
                <w:rFonts w:asciiTheme="majorHAnsi" w:eastAsia="Times New Roman" w:hAnsiTheme="majorHAnsi" w:cstheme="minorHAnsi"/>
                <w:color w:val="000000"/>
                <w:sz w:val="20"/>
                <w:szCs w:val="20"/>
                <w:lang w:eastAsia="pl-PL"/>
              </w:rPr>
            </w:pPr>
            <w:r w:rsidRPr="0024503A">
              <w:rPr>
                <w:rFonts w:asciiTheme="majorHAnsi" w:eastAsia="Times New Roman" w:hAnsiTheme="majorHAnsi" w:cstheme="minorHAnsi"/>
                <w:color w:val="000000"/>
                <w:sz w:val="20"/>
                <w:szCs w:val="20"/>
                <w:lang w:eastAsia="pl-PL"/>
              </w:rPr>
              <w:t>3,7</w:t>
            </w:r>
          </w:p>
        </w:tc>
      </w:tr>
      <w:tr w:rsidR="00A87253" w:rsidRPr="0024503A" w:rsidTr="00A613E2">
        <w:trPr>
          <w:trHeight w:val="288"/>
        </w:trPr>
        <w:tc>
          <w:tcPr>
            <w:tcW w:w="2268" w:type="dxa"/>
            <w:vMerge/>
            <w:tcBorders>
              <w:top w:val="nil"/>
              <w:bottom w:val="single" w:sz="4" w:space="0" w:color="000000"/>
              <w:right w:val="single" w:sz="4" w:space="0" w:color="000000"/>
            </w:tcBorders>
            <w:shd w:val="clear" w:color="auto" w:fill="auto"/>
            <w:vAlign w:val="center"/>
            <w:hideMark/>
          </w:tcPr>
          <w:p w:rsidR="00A87253" w:rsidRPr="0024503A" w:rsidRDefault="00A87253" w:rsidP="00ED4CA3">
            <w:pPr>
              <w:keepNext/>
              <w:spacing w:after="0" w:line="240" w:lineRule="auto"/>
              <w:rPr>
                <w:rFonts w:asciiTheme="majorHAnsi" w:eastAsia="Times New Roman" w:hAnsiTheme="majorHAnsi" w:cstheme="minorHAnsi"/>
                <w:bCs/>
                <w:color w:val="000000"/>
                <w:lang w:eastAsia="pl-PL"/>
              </w:rPr>
            </w:pPr>
          </w:p>
        </w:tc>
        <w:tc>
          <w:tcPr>
            <w:tcW w:w="1122" w:type="dxa"/>
            <w:tcBorders>
              <w:top w:val="nil"/>
              <w:left w:val="single" w:sz="4" w:space="0" w:color="000000"/>
              <w:bottom w:val="single" w:sz="4" w:space="0" w:color="000000"/>
              <w:right w:val="single" w:sz="4" w:space="0" w:color="000000"/>
            </w:tcBorders>
            <w:shd w:val="clear" w:color="auto" w:fill="auto"/>
            <w:hideMark/>
          </w:tcPr>
          <w:p w:rsidR="00A87253" w:rsidRPr="0024503A" w:rsidRDefault="00A87253" w:rsidP="00ED4CA3">
            <w:pPr>
              <w:keepNext/>
              <w:spacing w:after="0" w:line="240" w:lineRule="auto"/>
              <w:jc w:val="right"/>
              <w:rPr>
                <w:rFonts w:asciiTheme="majorHAnsi" w:eastAsia="Times New Roman" w:hAnsiTheme="majorHAnsi" w:cstheme="minorHAnsi"/>
                <w:color w:val="000000"/>
                <w:sz w:val="20"/>
                <w:szCs w:val="20"/>
                <w:lang w:eastAsia="pl-PL"/>
              </w:rPr>
            </w:pPr>
            <w:r w:rsidRPr="0024503A">
              <w:rPr>
                <w:rFonts w:asciiTheme="majorHAnsi" w:eastAsia="Times New Roman" w:hAnsiTheme="majorHAnsi" w:cstheme="minorHAnsi"/>
                <w:color w:val="000000"/>
                <w:sz w:val="20"/>
                <w:szCs w:val="20"/>
                <w:lang w:eastAsia="pl-PL"/>
              </w:rPr>
              <w:t>0,6</w:t>
            </w:r>
          </w:p>
        </w:tc>
        <w:tc>
          <w:tcPr>
            <w:tcW w:w="1122" w:type="dxa"/>
            <w:tcBorders>
              <w:top w:val="nil"/>
              <w:left w:val="single" w:sz="4" w:space="0" w:color="000000"/>
              <w:bottom w:val="single" w:sz="4" w:space="0" w:color="000000"/>
              <w:right w:val="single" w:sz="4" w:space="0" w:color="000000"/>
            </w:tcBorders>
            <w:shd w:val="clear" w:color="auto" w:fill="auto"/>
            <w:hideMark/>
          </w:tcPr>
          <w:p w:rsidR="00A87253" w:rsidRPr="0024503A" w:rsidRDefault="00A87253" w:rsidP="00ED4CA3">
            <w:pPr>
              <w:keepNext/>
              <w:spacing w:after="0" w:line="240" w:lineRule="auto"/>
              <w:jc w:val="right"/>
              <w:rPr>
                <w:rFonts w:asciiTheme="majorHAnsi" w:eastAsia="Times New Roman" w:hAnsiTheme="majorHAnsi" w:cstheme="minorHAnsi"/>
                <w:color w:val="000000"/>
                <w:sz w:val="20"/>
                <w:szCs w:val="20"/>
                <w:lang w:eastAsia="pl-PL"/>
              </w:rPr>
            </w:pPr>
            <w:r w:rsidRPr="0024503A">
              <w:rPr>
                <w:rFonts w:asciiTheme="majorHAnsi" w:eastAsia="Times New Roman" w:hAnsiTheme="majorHAnsi" w:cstheme="minorHAnsi"/>
                <w:color w:val="000000"/>
                <w:sz w:val="20"/>
                <w:szCs w:val="20"/>
                <w:lang w:eastAsia="pl-PL"/>
              </w:rPr>
              <w:t>1,9</w:t>
            </w:r>
          </w:p>
        </w:tc>
        <w:tc>
          <w:tcPr>
            <w:tcW w:w="1122" w:type="dxa"/>
            <w:tcBorders>
              <w:top w:val="nil"/>
              <w:left w:val="single" w:sz="4" w:space="0" w:color="000000"/>
              <w:bottom w:val="single" w:sz="4" w:space="0" w:color="000000"/>
              <w:right w:val="single" w:sz="4" w:space="0" w:color="000000"/>
            </w:tcBorders>
          </w:tcPr>
          <w:p w:rsidR="00A87253" w:rsidRPr="0024503A" w:rsidRDefault="00A87253" w:rsidP="00ED4CA3">
            <w:pPr>
              <w:keepNext/>
              <w:spacing w:after="0" w:line="240" w:lineRule="auto"/>
              <w:jc w:val="right"/>
              <w:rPr>
                <w:rFonts w:asciiTheme="majorHAnsi" w:eastAsia="Times New Roman" w:hAnsiTheme="majorHAnsi" w:cstheme="minorHAnsi"/>
                <w:color w:val="000000"/>
                <w:sz w:val="20"/>
                <w:szCs w:val="20"/>
                <w:lang w:eastAsia="pl-PL"/>
              </w:rPr>
            </w:pPr>
            <w:r w:rsidRPr="0024503A">
              <w:rPr>
                <w:rFonts w:asciiTheme="majorHAnsi" w:eastAsia="Times New Roman" w:hAnsiTheme="majorHAnsi" w:cstheme="minorHAnsi"/>
                <w:color w:val="000000"/>
                <w:sz w:val="20"/>
                <w:szCs w:val="20"/>
                <w:lang w:eastAsia="pl-PL"/>
              </w:rPr>
              <w:t>33,2</w:t>
            </w:r>
          </w:p>
        </w:tc>
        <w:tc>
          <w:tcPr>
            <w:tcW w:w="1122" w:type="dxa"/>
            <w:tcBorders>
              <w:top w:val="nil"/>
              <w:left w:val="single" w:sz="4" w:space="0" w:color="000000"/>
              <w:bottom w:val="single" w:sz="4" w:space="0" w:color="000000"/>
              <w:right w:val="single" w:sz="4" w:space="0" w:color="000000"/>
            </w:tcBorders>
            <w:shd w:val="clear" w:color="auto" w:fill="auto"/>
            <w:hideMark/>
          </w:tcPr>
          <w:p w:rsidR="00A87253" w:rsidRPr="0024503A" w:rsidRDefault="00A87253" w:rsidP="00ED4CA3">
            <w:pPr>
              <w:keepNext/>
              <w:spacing w:after="0" w:line="240" w:lineRule="auto"/>
              <w:jc w:val="right"/>
              <w:rPr>
                <w:rFonts w:asciiTheme="majorHAnsi" w:eastAsia="Times New Roman" w:hAnsiTheme="majorHAnsi" w:cstheme="minorHAnsi"/>
                <w:color w:val="000000"/>
                <w:sz w:val="20"/>
                <w:szCs w:val="20"/>
                <w:lang w:eastAsia="pl-PL"/>
              </w:rPr>
            </w:pPr>
            <w:r w:rsidRPr="0024503A">
              <w:rPr>
                <w:rFonts w:asciiTheme="majorHAnsi" w:eastAsia="Times New Roman" w:hAnsiTheme="majorHAnsi" w:cstheme="minorHAnsi"/>
                <w:color w:val="000000"/>
                <w:sz w:val="20"/>
                <w:szCs w:val="20"/>
                <w:lang w:eastAsia="pl-PL"/>
              </w:rPr>
              <w:t>45,5</w:t>
            </w:r>
          </w:p>
        </w:tc>
        <w:tc>
          <w:tcPr>
            <w:tcW w:w="1122" w:type="dxa"/>
            <w:tcBorders>
              <w:top w:val="nil"/>
              <w:left w:val="single" w:sz="4" w:space="0" w:color="000000"/>
              <w:bottom w:val="single" w:sz="4" w:space="0" w:color="000000"/>
              <w:right w:val="single" w:sz="4" w:space="0" w:color="000000"/>
            </w:tcBorders>
            <w:shd w:val="clear" w:color="auto" w:fill="auto"/>
            <w:hideMark/>
          </w:tcPr>
          <w:p w:rsidR="00A87253" w:rsidRPr="0024503A" w:rsidRDefault="00A87253" w:rsidP="00ED4CA3">
            <w:pPr>
              <w:keepNext/>
              <w:spacing w:after="0" w:line="240" w:lineRule="auto"/>
              <w:jc w:val="right"/>
              <w:rPr>
                <w:rFonts w:asciiTheme="majorHAnsi" w:eastAsia="Times New Roman" w:hAnsiTheme="majorHAnsi" w:cstheme="minorHAnsi"/>
                <w:color w:val="000000"/>
                <w:sz w:val="20"/>
                <w:szCs w:val="20"/>
                <w:lang w:eastAsia="pl-PL"/>
              </w:rPr>
            </w:pPr>
            <w:r w:rsidRPr="0024503A">
              <w:rPr>
                <w:rFonts w:asciiTheme="majorHAnsi" w:eastAsia="Times New Roman" w:hAnsiTheme="majorHAnsi" w:cstheme="minorHAnsi"/>
                <w:color w:val="000000"/>
                <w:sz w:val="20"/>
                <w:szCs w:val="20"/>
                <w:lang w:eastAsia="pl-PL"/>
              </w:rPr>
              <w:t>55,3</w:t>
            </w:r>
          </w:p>
        </w:tc>
        <w:tc>
          <w:tcPr>
            <w:tcW w:w="1123" w:type="dxa"/>
            <w:tcBorders>
              <w:top w:val="nil"/>
              <w:left w:val="single" w:sz="4" w:space="0" w:color="000000"/>
              <w:bottom w:val="single" w:sz="4" w:space="0" w:color="000000"/>
            </w:tcBorders>
            <w:shd w:val="clear" w:color="auto" w:fill="auto"/>
            <w:hideMark/>
          </w:tcPr>
          <w:p w:rsidR="00A87253" w:rsidRPr="0024503A" w:rsidRDefault="00A87253" w:rsidP="00ED4CA3">
            <w:pPr>
              <w:keepNext/>
              <w:spacing w:after="0" w:line="240" w:lineRule="auto"/>
              <w:jc w:val="right"/>
              <w:rPr>
                <w:rFonts w:asciiTheme="majorHAnsi" w:eastAsia="Times New Roman" w:hAnsiTheme="majorHAnsi" w:cstheme="minorHAnsi"/>
                <w:color w:val="000000"/>
                <w:sz w:val="20"/>
                <w:szCs w:val="20"/>
                <w:lang w:eastAsia="pl-PL"/>
              </w:rPr>
            </w:pPr>
            <w:r w:rsidRPr="0024503A">
              <w:rPr>
                <w:rFonts w:asciiTheme="majorHAnsi" w:eastAsia="Times New Roman" w:hAnsiTheme="majorHAnsi" w:cstheme="minorHAnsi"/>
                <w:color w:val="000000"/>
                <w:sz w:val="20"/>
                <w:szCs w:val="20"/>
                <w:lang w:eastAsia="pl-PL"/>
              </w:rPr>
              <w:t>59,9</w:t>
            </w:r>
          </w:p>
        </w:tc>
      </w:tr>
    </w:tbl>
    <w:p w:rsidR="00965208" w:rsidRPr="00816A59" w:rsidRDefault="004E5185" w:rsidP="00816A59">
      <w:pPr>
        <w:keepNext/>
        <w:spacing w:after="120" w:line="240" w:lineRule="auto"/>
        <w:jc w:val="both"/>
        <w:rPr>
          <w:rFonts w:ascii="Times New Roman" w:hAnsi="Times New Roman" w:cs="Times New Roman"/>
          <w:i/>
          <w:sz w:val="18"/>
          <w:szCs w:val="18"/>
        </w:rPr>
      </w:pPr>
      <w:r w:rsidRPr="00816A59">
        <w:rPr>
          <w:rFonts w:ascii="Times New Roman" w:hAnsi="Times New Roman" w:cs="Times New Roman"/>
          <w:i/>
          <w:sz w:val="18"/>
          <w:szCs w:val="18"/>
        </w:rPr>
        <w:t xml:space="preserve">Uwaga: a </w:t>
      </w:r>
      <w:r w:rsidR="003E7967" w:rsidRPr="00816A59">
        <w:rPr>
          <w:rFonts w:ascii="Times New Roman" w:hAnsi="Times New Roman" w:cs="Times New Roman"/>
          <w:i/>
          <w:sz w:val="18"/>
          <w:szCs w:val="18"/>
        </w:rPr>
        <w:t>–</w:t>
      </w:r>
      <w:r w:rsidRPr="00816A59">
        <w:rPr>
          <w:rFonts w:ascii="Times New Roman" w:hAnsi="Times New Roman" w:cs="Times New Roman"/>
          <w:i/>
          <w:sz w:val="18"/>
          <w:szCs w:val="18"/>
        </w:rPr>
        <w:t xml:space="preserve"> w </w:t>
      </w:r>
      <w:r w:rsidR="00A529FD" w:rsidRPr="00816A59">
        <w:rPr>
          <w:rFonts w:ascii="Times New Roman" w:hAnsi="Times New Roman" w:cs="Times New Roman"/>
          <w:i/>
          <w:sz w:val="18"/>
          <w:szCs w:val="18"/>
        </w:rPr>
        <w:t>tys.</w:t>
      </w:r>
      <w:r w:rsidRPr="00816A59">
        <w:rPr>
          <w:rFonts w:ascii="Times New Roman" w:hAnsi="Times New Roman" w:cs="Times New Roman"/>
          <w:i/>
          <w:sz w:val="18"/>
          <w:szCs w:val="18"/>
        </w:rPr>
        <w:t>, b – w % według częstotliwości dojazdu</w:t>
      </w:r>
      <w:r w:rsidR="001D42EB" w:rsidRPr="00816A59">
        <w:rPr>
          <w:rFonts w:ascii="Times New Roman" w:hAnsi="Times New Roman" w:cs="Times New Roman"/>
          <w:i/>
          <w:sz w:val="18"/>
          <w:szCs w:val="18"/>
        </w:rPr>
        <w:t>,</w:t>
      </w:r>
      <w:r w:rsidRPr="00816A59">
        <w:rPr>
          <w:rFonts w:ascii="Times New Roman" w:hAnsi="Times New Roman" w:cs="Times New Roman"/>
          <w:i/>
          <w:sz w:val="18"/>
          <w:szCs w:val="18"/>
        </w:rPr>
        <w:t xml:space="preserve"> c – w % według czasu dojazdu.</w:t>
      </w:r>
    </w:p>
    <w:p w:rsidR="00FD0E81" w:rsidRPr="00F72B2E" w:rsidRDefault="004E5185" w:rsidP="00816A59">
      <w:pPr>
        <w:pStyle w:val="tekstgl"/>
        <w:spacing w:after="0" w:line="360" w:lineRule="auto"/>
        <w:ind w:firstLine="709"/>
        <w:rPr>
          <w:rFonts w:ascii="Times New Roman" w:hAnsi="Times New Roman" w:cs="Times New Roman"/>
          <w:sz w:val="24"/>
          <w:szCs w:val="24"/>
        </w:rPr>
      </w:pPr>
      <w:r w:rsidRPr="00F72B2E">
        <w:rPr>
          <w:rFonts w:ascii="Times New Roman" w:hAnsi="Times New Roman" w:cs="Times New Roman"/>
          <w:sz w:val="24"/>
          <w:szCs w:val="24"/>
        </w:rPr>
        <w:t>Jak wida</w:t>
      </w:r>
      <w:r w:rsidR="008152D1" w:rsidRPr="00F72B2E">
        <w:rPr>
          <w:rFonts w:ascii="Times New Roman" w:hAnsi="Times New Roman" w:cs="Times New Roman"/>
          <w:sz w:val="24"/>
          <w:szCs w:val="24"/>
        </w:rPr>
        <w:t>ć, im krótszy jest czas dojazdu</w:t>
      </w:r>
      <w:r w:rsidRPr="00F72B2E">
        <w:rPr>
          <w:rFonts w:ascii="Times New Roman" w:hAnsi="Times New Roman" w:cs="Times New Roman"/>
          <w:sz w:val="24"/>
          <w:szCs w:val="24"/>
        </w:rPr>
        <w:t xml:space="preserve"> tym wi</w:t>
      </w:r>
      <w:r w:rsidR="00A864E0" w:rsidRPr="00F72B2E">
        <w:rPr>
          <w:rFonts w:ascii="Times New Roman" w:hAnsi="Times New Roman" w:cs="Times New Roman"/>
          <w:sz w:val="24"/>
          <w:szCs w:val="24"/>
        </w:rPr>
        <w:t>ę</w:t>
      </w:r>
      <w:r w:rsidRPr="00F72B2E">
        <w:rPr>
          <w:rFonts w:ascii="Times New Roman" w:hAnsi="Times New Roman" w:cs="Times New Roman"/>
          <w:sz w:val="24"/>
          <w:szCs w:val="24"/>
        </w:rPr>
        <w:t>ksza okazuje się czę</w:t>
      </w:r>
      <w:r w:rsidR="00A864E0" w:rsidRPr="00F72B2E">
        <w:rPr>
          <w:rFonts w:ascii="Times New Roman" w:hAnsi="Times New Roman" w:cs="Times New Roman"/>
          <w:sz w:val="24"/>
          <w:szCs w:val="24"/>
        </w:rPr>
        <w:t>s</w:t>
      </w:r>
      <w:r w:rsidRPr="00F72B2E">
        <w:rPr>
          <w:rFonts w:ascii="Times New Roman" w:hAnsi="Times New Roman" w:cs="Times New Roman"/>
          <w:sz w:val="24"/>
          <w:szCs w:val="24"/>
        </w:rPr>
        <w:t>to</w:t>
      </w:r>
      <w:r w:rsidR="00A864E0" w:rsidRPr="00F72B2E">
        <w:rPr>
          <w:rFonts w:ascii="Times New Roman" w:hAnsi="Times New Roman" w:cs="Times New Roman"/>
          <w:sz w:val="24"/>
          <w:szCs w:val="24"/>
        </w:rPr>
        <w:t>t</w:t>
      </w:r>
      <w:r w:rsidRPr="00F72B2E">
        <w:rPr>
          <w:rFonts w:ascii="Times New Roman" w:hAnsi="Times New Roman" w:cs="Times New Roman"/>
          <w:sz w:val="24"/>
          <w:szCs w:val="24"/>
        </w:rPr>
        <w:t>liw</w:t>
      </w:r>
      <w:r w:rsidR="00A864E0" w:rsidRPr="00F72B2E">
        <w:rPr>
          <w:rFonts w:ascii="Times New Roman" w:hAnsi="Times New Roman" w:cs="Times New Roman"/>
          <w:sz w:val="24"/>
          <w:szCs w:val="24"/>
        </w:rPr>
        <w:t>ość</w:t>
      </w:r>
      <w:r w:rsidRPr="00F72B2E">
        <w:rPr>
          <w:rFonts w:ascii="Times New Roman" w:hAnsi="Times New Roman" w:cs="Times New Roman"/>
          <w:sz w:val="24"/>
          <w:szCs w:val="24"/>
        </w:rPr>
        <w:t xml:space="preserve"> pok</w:t>
      </w:r>
      <w:r w:rsidR="00A864E0" w:rsidRPr="00F72B2E">
        <w:rPr>
          <w:rFonts w:ascii="Times New Roman" w:hAnsi="Times New Roman" w:cs="Times New Roman"/>
          <w:sz w:val="24"/>
          <w:szCs w:val="24"/>
        </w:rPr>
        <w:t>o</w:t>
      </w:r>
      <w:r w:rsidRPr="00F72B2E">
        <w:rPr>
          <w:rFonts w:ascii="Times New Roman" w:hAnsi="Times New Roman" w:cs="Times New Roman"/>
          <w:sz w:val="24"/>
          <w:szCs w:val="24"/>
        </w:rPr>
        <w:t>nywania o</w:t>
      </w:r>
      <w:r w:rsidR="00A864E0" w:rsidRPr="00F72B2E">
        <w:rPr>
          <w:rFonts w:ascii="Times New Roman" w:hAnsi="Times New Roman" w:cs="Times New Roman"/>
          <w:sz w:val="24"/>
          <w:szCs w:val="24"/>
        </w:rPr>
        <w:t>d</w:t>
      </w:r>
      <w:r w:rsidRPr="00F72B2E">
        <w:rPr>
          <w:rFonts w:ascii="Times New Roman" w:hAnsi="Times New Roman" w:cs="Times New Roman"/>
          <w:sz w:val="24"/>
          <w:szCs w:val="24"/>
        </w:rPr>
        <w:t>leg</w:t>
      </w:r>
      <w:r w:rsidR="00A864E0" w:rsidRPr="00F72B2E">
        <w:rPr>
          <w:rFonts w:ascii="Times New Roman" w:hAnsi="Times New Roman" w:cs="Times New Roman"/>
          <w:sz w:val="24"/>
          <w:szCs w:val="24"/>
        </w:rPr>
        <w:t>łości</w:t>
      </w:r>
      <w:r w:rsidRPr="00F72B2E">
        <w:rPr>
          <w:rFonts w:ascii="Times New Roman" w:hAnsi="Times New Roman" w:cs="Times New Roman"/>
          <w:sz w:val="24"/>
          <w:szCs w:val="24"/>
        </w:rPr>
        <w:t xml:space="preserve"> pomi</w:t>
      </w:r>
      <w:r w:rsidR="00A864E0" w:rsidRPr="00F72B2E">
        <w:rPr>
          <w:rFonts w:ascii="Times New Roman" w:hAnsi="Times New Roman" w:cs="Times New Roman"/>
          <w:sz w:val="24"/>
          <w:szCs w:val="24"/>
        </w:rPr>
        <w:t>ę</w:t>
      </w:r>
      <w:r w:rsidRPr="00F72B2E">
        <w:rPr>
          <w:rFonts w:ascii="Times New Roman" w:hAnsi="Times New Roman" w:cs="Times New Roman"/>
          <w:sz w:val="24"/>
          <w:szCs w:val="24"/>
        </w:rPr>
        <w:t>dzy miejsce</w:t>
      </w:r>
      <w:r w:rsidR="00DC68DD" w:rsidRPr="00F72B2E">
        <w:rPr>
          <w:rFonts w:ascii="Times New Roman" w:hAnsi="Times New Roman" w:cs="Times New Roman"/>
          <w:sz w:val="24"/>
          <w:szCs w:val="24"/>
        </w:rPr>
        <w:t>m</w:t>
      </w:r>
      <w:r w:rsidRPr="00F72B2E">
        <w:rPr>
          <w:rFonts w:ascii="Times New Roman" w:hAnsi="Times New Roman" w:cs="Times New Roman"/>
          <w:sz w:val="24"/>
          <w:szCs w:val="24"/>
        </w:rPr>
        <w:t xml:space="preserve"> </w:t>
      </w:r>
      <w:r w:rsidR="00A864E0" w:rsidRPr="00F72B2E">
        <w:rPr>
          <w:rFonts w:ascii="Times New Roman" w:hAnsi="Times New Roman" w:cs="Times New Roman"/>
          <w:sz w:val="24"/>
          <w:szCs w:val="24"/>
        </w:rPr>
        <w:t>za</w:t>
      </w:r>
      <w:r w:rsidRPr="00F72B2E">
        <w:rPr>
          <w:rFonts w:ascii="Times New Roman" w:hAnsi="Times New Roman" w:cs="Times New Roman"/>
          <w:sz w:val="24"/>
          <w:szCs w:val="24"/>
        </w:rPr>
        <w:t>mie</w:t>
      </w:r>
      <w:r w:rsidR="00A864E0" w:rsidRPr="00F72B2E">
        <w:rPr>
          <w:rFonts w:ascii="Times New Roman" w:hAnsi="Times New Roman" w:cs="Times New Roman"/>
          <w:sz w:val="24"/>
          <w:szCs w:val="24"/>
        </w:rPr>
        <w:t>s</w:t>
      </w:r>
      <w:r w:rsidRPr="00F72B2E">
        <w:rPr>
          <w:rFonts w:ascii="Times New Roman" w:hAnsi="Times New Roman" w:cs="Times New Roman"/>
          <w:sz w:val="24"/>
          <w:szCs w:val="24"/>
        </w:rPr>
        <w:t xml:space="preserve">zkania </w:t>
      </w:r>
      <w:r w:rsidR="00DC68DD" w:rsidRPr="00F72B2E">
        <w:rPr>
          <w:rFonts w:ascii="Times New Roman" w:hAnsi="Times New Roman" w:cs="Times New Roman"/>
          <w:sz w:val="24"/>
          <w:szCs w:val="24"/>
        </w:rPr>
        <w:t>a</w:t>
      </w:r>
      <w:r w:rsidRPr="00F72B2E">
        <w:rPr>
          <w:rFonts w:ascii="Times New Roman" w:hAnsi="Times New Roman" w:cs="Times New Roman"/>
          <w:sz w:val="24"/>
          <w:szCs w:val="24"/>
        </w:rPr>
        <w:t xml:space="preserve"> miejscem pr</w:t>
      </w:r>
      <w:r w:rsidR="00A864E0" w:rsidRPr="00F72B2E">
        <w:rPr>
          <w:rFonts w:ascii="Times New Roman" w:hAnsi="Times New Roman" w:cs="Times New Roman"/>
          <w:sz w:val="24"/>
          <w:szCs w:val="24"/>
        </w:rPr>
        <w:t>a</w:t>
      </w:r>
      <w:r w:rsidRPr="00F72B2E">
        <w:rPr>
          <w:rFonts w:ascii="Times New Roman" w:hAnsi="Times New Roman" w:cs="Times New Roman"/>
          <w:sz w:val="24"/>
          <w:szCs w:val="24"/>
        </w:rPr>
        <w:t xml:space="preserve">cy. </w:t>
      </w:r>
    </w:p>
    <w:p w:rsidR="00D954CC" w:rsidRPr="00F72B2E" w:rsidRDefault="00406DA0" w:rsidP="00816A59">
      <w:pPr>
        <w:pStyle w:val="tekstgl"/>
        <w:spacing w:after="0" w:line="360" w:lineRule="auto"/>
        <w:ind w:firstLine="709"/>
        <w:rPr>
          <w:rFonts w:ascii="Times New Roman" w:hAnsi="Times New Roman" w:cs="Times New Roman"/>
          <w:sz w:val="24"/>
          <w:szCs w:val="24"/>
        </w:rPr>
      </w:pPr>
      <w:r w:rsidRPr="00F72B2E">
        <w:rPr>
          <w:rFonts w:ascii="Times New Roman" w:hAnsi="Times New Roman" w:cs="Times New Roman"/>
          <w:sz w:val="24"/>
          <w:szCs w:val="24"/>
        </w:rPr>
        <w:t xml:space="preserve">Zależność między odległością a czasem dojazdu do pracy przedstawia </w:t>
      </w:r>
      <w:r w:rsidR="000D1111">
        <w:rPr>
          <w:rFonts w:ascii="Times New Roman" w:hAnsi="Times New Roman" w:cs="Times New Roman"/>
          <w:sz w:val="24"/>
          <w:szCs w:val="24"/>
        </w:rPr>
        <w:t xml:space="preserve">poniższy </w:t>
      </w:r>
      <w:r w:rsidRPr="00F72B2E">
        <w:rPr>
          <w:rFonts w:ascii="Times New Roman" w:hAnsi="Times New Roman" w:cs="Times New Roman"/>
          <w:sz w:val="24"/>
          <w:szCs w:val="24"/>
        </w:rPr>
        <w:t xml:space="preserve">wykres. </w:t>
      </w:r>
      <w:proofErr w:type="spellStart"/>
      <w:r w:rsidR="008152D1" w:rsidRPr="00F72B2E">
        <w:rPr>
          <w:rFonts w:ascii="Times New Roman" w:hAnsi="Times New Roman" w:cs="Times New Roman"/>
          <w:sz w:val="24"/>
          <w:szCs w:val="24"/>
        </w:rPr>
        <w:t>Zwizuali</w:t>
      </w:r>
      <w:r w:rsidRPr="00F72B2E">
        <w:rPr>
          <w:rFonts w:ascii="Times New Roman" w:hAnsi="Times New Roman" w:cs="Times New Roman"/>
          <w:sz w:val="24"/>
          <w:szCs w:val="24"/>
        </w:rPr>
        <w:t>zowano</w:t>
      </w:r>
      <w:proofErr w:type="spellEnd"/>
      <w:r w:rsidRPr="00F72B2E">
        <w:rPr>
          <w:rFonts w:ascii="Times New Roman" w:hAnsi="Times New Roman" w:cs="Times New Roman"/>
          <w:sz w:val="24"/>
          <w:szCs w:val="24"/>
        </w:rPr>
        <w:t xml:space="preserve"> na nim</w:t>
      </w:r>
      <w:r w:rsidR="008152D1" w:rsidRPr="00F72B2E">
        <w:rPr>
          <w:rFonts w:ascii="Times New Roman" w:hAnsi="Times New Roman" w:cs="Times New Roman"/>
          <w:sz w:val="24"/>
          <w:szCs w:val="24"/>
        </w:rPr>
        <w:t xml:space="preserve"> w specyficzny sposób udz</w:t>
      </w:r>
      <w:r w:rsidR="00816A59">
        <w:rPr>
          <w:rFonts w:ascii="Times New Roman" w:hAnsi="Times New Roman" w:cs="Times New Roman"/>
          <w:sz w:val="24"/>
          <w:szCs w:val="24"/>
        </w:rPr>
        <w:t>iały poszczególnych kategorii w </w:t>
      </w:r>
      <w:r w:rsidR="008152D1" w:rsidRPr="00F72B2E">
        <w:rPr>
          <w:rFonts w:ascii="Times New Roman" w:hAnsi="Times New Roman" w:cs="Times New Roman"/>
          <w:sz w:val="24"/>
          <w:szCs w:val="24"/>
        </w:rPr>
        <w:t>liczbie dojeżdżających ogółem.</w:t>
      </w:r>
    </w:p>
    <w:p w:rsidR="003C66CF" w:rsidRPr="00CF76AC" w:rsidRDefault="00D52529" w:rsidP="00ED4CA3">
      <w:pPr>
        <w:pStyle w:val="Akapitzlist"/>
        <w:keepNext/>
        <w:spacing w:after="100"/>
        <w:ind w:left="0"/>
        <w:contextualSpacing w:val="0"/>
        <w:jc w:val="both"/>
        <w:rPr>
          <w:rFonts w:ascii="Times New Roman" w:hAnsi="Times New Roman" w:cs="Times New Roman"/>
          <w:b/>
          <w:sz w:val="20"/>
          <w:szCs w:val="20"/>
        </w:rPr>
      </w:pPr>
      <w:r w:rsidRPr="00CF76AC">
        <w:rPr>
          <w:rFonts w:ascii="Times New Roman" w:hAnsi="Times New Roman" w:cs="Times New Roman"/>
          <w:b/>
          <w:sz w:val="20"/>
          <w:szCs w:val="20"/>
        </w:rPr>
        <w:t xml:space="preserve">Wykres </w:t>
      </w:r>
      <w:r w:rsidR="0029666D">
        <w:rPr>
          <w:rFonts w:ascii="Times New Roman" w:hAnsi="Times New Roman" w:cs="Times New Roman"/>
          <w:b/>
          <w:sz w:val="20"/>
          <w:szCs w:val="20"/>
        </w:rPr>
        <w:t>6.9</w:t>
      </w:r>
      <w:r w:rsidR="003C66CF" w:rsidRPr="00CF76AC">
        <w:rPr>
          <w:rFonts w:ascii="Times New Roman" w:hAnsi="Times New Roman" w:cs="Times New Roman"/>
          <w:b/>
          <w:sz w:val="20"/>
          <w:szCs w:val="20"/>
        </w:rPr>
        <w:t xml:space="preserve">. Zależność odległości dojazdu do </w:t>
      </w:r>
      <w:r w:rsidR="0003508B">
        <w:rPr>
          <w:rFonts w:ascii="Times New Roman" w:hAnsi="Times New Roman" w:cs="Times New Roman"/>
          <w:b/>
          <w:sz w:val="20"/>
          <w:szCs w:val="20"/>
        </w:rPr>
        <w:t>pracy od czasu jej pokonywania</w:t>
      </w:r>
    </w:p>
    <w:p w:rsidR="00D14DF4" w:rsidRPr="0024503A" w:rsidRDefault="001409E4" w:rsidP="00ED4CA3">
      <w:pPr>
        <w:pStyle w:val="Akapitzlist"/>
        <w:keepNext/>
        <w:spacing w:after="100"/>
        <w:ind w:left="0"/>
        <w:contextualSpacing w:val="0"/>
        <w:jc w:val="both"/>
        <w:rPr>
          <w:rFonts w:asciiTheme="majorHAnsi" w:hAnsiTheme="majorHAnsi"/>
        </w:rPr>
      </w:pPr>
      <w:r>
        <w:rPr>
          <w:rFonts w:asciiTheme="majorHAnsi" w:hAnsiTheme="majorHAnsi"/>
          <w:noProof/>
          <w:lang w:eastAsia="pl-PL"/>
        </w:rPr>
        <w:pict>
          <v:shape id="_x0000_s1030" type="#_x0000_t202" style="position:absolute;left:0;text-align:left;margin-left:292.9pt;margin-top:3.15pt;width:13.65pt;height:7.8pt;z-index:251661312;v-text-anchor:middle" stroked="f">
            <v:textbox style="mso-next-textbox:#_x0000_s1030" inset="0,0,0,0">
              <w:txbxContent>
                <w:p w:rsidR="0015006C" w:rsidRPr="004F555F" w:rsidRDefault="0015006C" w:rsidP="004F555F">
                  <w:pPr>
                    <w:spacing w:after="0" w:line="240" w:lineRule="auto"/>
                    <w:jc w:val="center"/>
                    <w:rPr>
                      <w:sz w:val="17"/>
                      <w:szCs w:val="17"/>
                    </w:rPr>
                  </w:pPr>
                  <w:r w:rsidRPr="004F555F">
                    <w:rPr>
                      <w:sz w:val="17"/>
                      <w:szCs w:val="17"/>
                    </w:rPr>
                    <w:t>do</w:t>
                  </w:r>
                </w:p>
              </w:txbxContent>
            </v:textbox>
          </v:shape>
        </w:pict>
      </w:r>
      <w:r>
        <w:rPr>
          <w:rFonts w:asciiTheme="majorHAnsi" w:hAnsiTheme="majorHAnsi"/>
          <w:noProof/>
          <w:lang w:eastAsia="pl-PL"/>
        </w:rPr>
        <w:pict>
          <v:shape id="_x0000_s1027" type="#_x0000_t202" style="position:absolute;left:0;text-align:left;margin-left:248.65pt;margin-top:295.4pt;width:74.2pt;height:15.2pt;z-index:251659264;v-text-anchor:middle" fillcolor="white [3212]" stroked="f">
            <v:textbox inset="0,0,0,0">
              <w:txbxContent>
                <w:p w:rsidR="0015006C" w:rsidRPr="004F555F" w:rsidRDefault="0015006C" w:rsidP="004F555F">
                  <w:pPr>
                    <w:jc w:val="center"/>
                    <w:rPr>
                      <w:sz w:val="20"/>
                      <w:szCs w:val="20"/>
                    </w:rPr>
                  </w:pPr>
                  <w:r w:rsidRPr="004F555F">
                    <w:rPr>
                      <w:sz w:val="20"/>
                      <w:szCs w:val="20"/>
                    </w:rPr>
                    <w:t>Procenty</w:t>
                  </w:r>
                </w:p>
              </w:txbxContent>
            </v:textbox>
          </v:shape>
        </w:pict>
      </w:r>
      <w:r w:rsidR="00E55CB4" w:rsidRPr="0024503A">
        <w:rPr>
          <w:rFonts w:asciiTheme="majorHAnsi" w:hAnsiTheme="majorHAnsi"/>
          <w:noProof/>
          <w:sz w:val="24"/>
          <w:szCs w:val="24"/>
          <w:lang w:eastAsia="pl-PL"/>
        </w:rPr>
        <w:drawing>
          <wp:inline distT="0" distB="0" distL="0" distR="0">
            <wp:extent cx="5668723" cy="3960770"/>
            <wp:effectExtent l="19050" t="0" r="8177" b="0"/>
            <wp:docPr id="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l="858" t="6563" r="737" b="1784"/>
                    <a:stretch>
                      <a:fillRect/>
                    </a:stretch>
                  </pic:blipFill>
                  <pic:spPr bwMode="auto">
                    <a:xfrm>
                      <a:off x="0" y="0"/>
                      <a:ext cx="5668723" cy="3960770"/>
                    </a:xfrm>
                    <a:prstGeom prst="rect">
                      <a:avLst/>
                    </a:prstGeom>
                    <a:noFill/>
                    <a:ln w="9525">
                      <a:noFill/>
                      <a:miter lim="800000"/>
                      <a:headEnd/>
                      <a:tailEnd/>
                    </a:ln>
                  </pic:spPr>
                </pic:pic>
              </a:graphicData>
            </a:graphic>
          </wp:inline>
        </w:drawing>
      </w:r>
    </w:p>
    <w:p w:rsidR="00A864E0" w:rsidRPr="00CF76AC" w:rsidRDefault="003C66CF" w:rsidP="00CF76AC">
      <w:pPr>
        <w:pStyle w:val="tekstgl"/>
        <w:spacing w:after="0" w:line="360" w:lineRule="auto"/>
        <w:ind w:firstLine="709"/>
        <w:rPr>
          <w:rFonts w:ascii="Times New Roman" w:hAnsi="Times New Roman" w:cs="Times New Roman"/>
          <w:sz w:val="24"/>
          <w:szCs w:val="24"/>
        </w:rPr>
      </w:pPr>
      <w:r w:rsidRPr="00CF76AC">
        <w:rPr>
          <w:rFonts w:ascii="Times New Roman" w:hAnsi="Times New Roman" w:cs="Times New Roman"/>
          <w:sz w:val="24"/>
          <w:szCs w:val="24"/>
        </w:rPr>
        <w:lastRenderedPageBreak/>
        <w:t xml:space="preserve">Jak </w:t>
      </w:r>
      <w:r w:rsidR="003C6BE3" w:rsidRPr="00CF76AC">
        <w:rPr>
          <w:rFonts w:ascii="Times New Roman" w:hAnsi="Times New Roman" w:cs="Times New Roman"/>
          <w:sz w:val="24"/>
          <w:szCs w:val="24"/>
        </w:rPr>
        <w:t>widać</w:t>
      </w:r>
      <w:r w:rsidRPr="00CF76AC">
        <w:rPr>
          <w:rFonts w:ascii="Times New Roman" w:hAnsi="Times New Roman" w:cs="Times New Roman"/>
          <w:sz w:val="24"/>
          <w:szCs w:val="24"/>
        </w:rPr>
        <w:t>, zależność ta</w:t>
      </w:r>
      <w:r w:rsidR="003C6BE3" w:rsidRPr="00CF76AC">
        <w:rPr>
          <w:rFonts w:ascii="Times New Roman" w:hAnsi="Times New Roman" w:cs="Times New Roman"/>
          <w:sz w:val="24"/>
          <w:szCs w:val="24"/>
        </w:rPr>
        <w:t xml:space="preserve"> </w:t>
      </w:r>
      <w:r w:rsidR="00CC6748" w:rsidRPr="00CF76AC">
        <w:rPr>
          <w:rFonts w:ascii="Times New Roman" w:hAnsi="Times New Roman" w:cs="Times New Roman"/>
          <w:sz w:val="24"/>
          <w:szCs w:val="24"/>
        </w:rPr>
        <w:t>okazuje się</w:t>
      </w:r>
      <w:r w:rsidR="003C6BE3" w:rsidRPr="00CF76AC">
        <w:rPr>
          <w:rFonts w:ascii="Times New Roman" w:hAnsi="Times New Roman" w:cs="Times New Roman"/>
          <w:sz w:val="24"/>
          <w:szCs w:val="24"/>
        </w:rPr>
        <w:t xml:space="preserve"> silna. </w:t>
      </w:r>
      <w:r w:rsidR="00A80C3A" w:rsidRPr="00CF76AC">
        <w:rPr>
          <w:rFonts w:ascii="Times New Roman" w:hAnsi="Times New Roman" w:cs="Times New Roman"/>
          <w:sz w:val="24"/>
          <w:szCs w:val="24"/>
        </w:rPr>
        <w:t xml:space="preserve">Warto przy tym zauważyć, że dojeżdżających do pracy na odległość do 20 km w czasie nie dłuższym niż pół godziny jest szczególnie dużo. </w:t>
      </w:r>
    </w:p>
    <w:p w:rsidR="009B1E9B" w:rsidRPr="00700B9F" w:rsidRDefault="00DE1EC4" w:rsidP="00DE1EC4">
      <w:pPr>
        <w:keepNext/>
        <w:spacing w:after="100"/>
        <w:jc w:val="both"/>
        <w:rPr>
          <w:rFonts w:ascii="Times New Roman" w:hAnsi="Times New Roman" w:cs="Times New Roman"/>
          <w:b/>
          <w:sz w:val="28"/>
          <w:szCs w:val="28"/>
        </w:rPr>
      </w:pPr>
      <w:r w:rsidRPr="00700B9F">
        <w:rPr>
          <w:rFonts w:ascii="Times New Roman" w:hAnsi="Times New Roman" w:cs="Times New Roman"/>
          <w:b/>
          <w:sz w:val="28"/>
          <w:szCs w:val="28"/>
        </w:rPr>
        <w:t>Podsumowanie</w:t>
      </w:r>
    </w:p>
    <w:p w:rsidR="009B1E9B" w:rsidRPr="000909AB" w:rsidRDefault="000422FE" w:rsidP="000909AB">
      <w:pPr>
        <w:pStyle w:val="tekstgl"/>
        <w:spacing w:after="0" w:line="360" w:lineRule="auto"/>
        <w:ind w:firstLine="709"/>
        <w:rPr>
          <w:rFonts w:ascii="Times New Roman" w:hAnsi="Times New Roman" w:cs="Times New Roman"/>
          <w:sz w:val="24"/>
          <w:szCs w:val="24"/>
        </w:rPr>
      </w:pPr>
      <w:r w:rsidRPr="000909AB">
        <w:rPr>
          <w:rFonts w:ascii="Times New Roman" w:hAnsi="Times New Roman" w:cs="Times New Roman"/>
          <w:sz w:val="24"/>
          <w:szCs w:val="24"/>
        </w:rPr>
        <w:t>Przeprowa</w:t>
      </w:r>
      <w:r w:rsidR="00D41C8A" w:rsidRPr="000909AB">
        <w:rPr>
          <w:rFonts w:ascii="Times New Roman" w:hAnsi="Times New Roman" w:cs="Times New Roman"/>
          <w:sz w:val="24"/>
          <w:szCs w:val="24"/>
        </w:rPr>
        <w:t>dz</w:t>
      </w:r>
      <w:r w:rsidRPr="000909AB">
        <w:rPr>
          <w:rFonts w:ascii="Times New Roman" w:hAnsi="Times New Roman" w:cs="Times New Roman"/>
          <w:sz w:val="24"/>
          <w:szCs w:val="24"/>
        </w:rPr>
        <w:t>one wyżej analizy prowadz</w:t>
      </w:r>
      <w:r w:rsidR="00D41C8A" w:rsidRPr="000909AB">
        <w:rPr>
          <w:rFonts w:ascii="Times New Roman" w:hAnsi="Times New Roman" w:cs="Times New Roman"/>
          <w:sz w:val="24"/>
          <w:szCs w:val="24"/>
        </w:rPr>
        <w:t>ą</w:t>
      </w:r>
      <w:r w:rsidRPr="000909AB">
        <w:rPr>
          <w:rFonts w:ascii="Times New Roman" w:hAnsi="Times New Roman" w:cs="Times New Roman"/>
          <w:sz w:val="24"/>
          <w:szCs w:val="24"/>
        </w:rPr>
        <w:t xml:space="preserve"> do spostrze</w:t>
      </w:r>
      <w:r w:rsidR="00D41C8A" w:rsidRPr="000909AB">
        <w:rPr>
          <w:rFonts w:ascii="Times New Roman" w:hAnsi="Times New Roman" w:cs="Times New Roman"/>
          <w:sz w:val="24"/>
          <w:szCs w:val="24"/>
        </w:rPr>
        <w:t>że</w:t>
      </w:r>
      <w:r w:rsidRPr="000909AB">
        <w:rPr>
          <w:rFonts w:ascii="Times New Roman" w:hAnsi="Times New Roman" w:cs="Times New Roman"/>
          <w:sz w:val="24"/>
          <w:szCs w:val="24"/>
        </w:rPr>
        <w:t>nia, że większ</w:t>
      </w:r>
      <w:r w:rsidR="00D41C8A" w:rsidRPr="000909AB">
        <w:rPr>
          <w:rFonts w:ascii="Times New Roman" w:hAnsi="Times New Roman" w:cs="Times New Roman"/>
          <w:sz w:val="24"/>
          <w:szCs w:val="24"/>
        </w:rPr>
        <w:t>ość</w:t>
      </w:r>
      <w:r w:rsidRPr="000909AB">
        <w:rPr>
          <w:rFonts w:ascii="Times New Roman" w:hAnsi="Times New Roman" w:cs="Times New Roman"/>
          <w:sz w:val="24"/>
          <w:szCs w:val="24"/>
        </w:rPr>
        <w:t xml:space="preserve"> pr</w:t>
      </w:r>
      <w:r w:rsidR="00D41C8A" w:rsidRPr="000909AB">
        <w:rPr>
          <w:rFonts w:ascii="Times New Roman" w:hAnsi="Times New Roman" w:cs="Times New Roman"/>
          <w:sz w:val="24"/>
          <w:szCs w:val="24"/>
        </w:rPr>
        <w:t>a</w:t>
      </w:r>
      <w:r w:rsidRPr="000909AB">
        <w:rPr>
          <w:rFonts w:ascii="Times New Roman" w:hAnsi="Times New Roman" w:cs="Times New Roman"/>
          <w:sz w:val="24"/>
          <w:szCs w:val="24"/>
        </w:rPr>
        <w:t>cuj</w:t>
      </w:r>
      <w:r w:rsidR="00D41C8A" w:rsidRPr="000909AB">
        <w:rPr>
          <w:rFonts w:ascii="Times New Roman" w:hAnsi="Times New Roman" w:cs="Times New Roman"/>
          <w:sz w:val="24"/>
          <w:szCs w:val="24"/>
        </w:rPr>
        <w:t>ą</w:t>
      </w:r>
      <w:r w:rsidRPr="000909AB">
        <w:rPr>
          <w:rFonts w:ascii="Times New Roman" w:hAnsi="Times New Roman" w:cs="Times New Roman"/>
          <w:sz w:val="24"/>
          <w:szCs w:val="24"/>
        </w:rPr>
        <w:t xml:space="preserve">cych (ponad </w:t>
      </w:r>
      <w:r w:rsidR="00DB618F" w:rsidRPr="000909AB">
        <w:rPr>
          <w:rFonts w:ascii="Times New Roman" w:hAnsi="Times New Roman" w:cs="Times New Roman"/>
          <w:sz w:val="24"/>
          <w:szCs w:val="24"/>
        </w:rPr>
        <w:t>60</w:t>
      </w:r>
      <w:r w:rsidRPr="000909AB">
        <w:rPr>
          <w:rFonts w:ascii="Times New Roman" w:hAnsi="Times New Roman" w:cs="Times New Roman"/>
          <w:sz w:val="24"/>
          <w:szCs w:val="24"/>
        </w:rPr>
        <w:t>%) dojeżdża do gł</w:t>
      </w:r>
      <w:r w:rsidR="00D41C8A" w:rsidRPr="000909AB">
        <w:rPr>
          <w:rFonts w:ascii="Times New Roman" w:hAnsi="Times New Roman" w:cs="Times New Roman"/>
          <w:sz w:val="24"/>
          <w:szCs w:val="24"/>
        </w:rPr>
        <w:t>ó</w:t>
      </w:r>
      <w:r w:rsidRPr="000909AB">
        <w:rPr>
          <w:rFonts w:ascii="Times New Roman" w:hAnsi="Times New Roman" w:cs="Times New Roman"/>
          <w:sz w:val="24"/>
          <w:szCs w:val="24"/>
        </w:rPr>
        <w:t>wneg</w:t>
      </w:r>
      <w:r w:rsidR="00D41C8A" w:rsidRPr="000909AB">
        <w:rPr>
          <w:rFonts w:ascii="Times New Roman" w:hAnsi="Times New Roman" w:cs="Times New Roman"/>
          <w:sz w:val="24"/>
          <w:szCs w:val="24"/>
        </w:rPr>
        <w:t>o</w:t>
      </w:r>
      <w:r w:rsidRPr="000909AB">
        <w:rPr>
          <w:rFonts w:ascii="Times New Roman" w:hAnsi="Times New Roman" w:cs="Times New Roman"/>
          <w:sz w:val="24"/>
          <w:szCs w:val="24"/>
        </w:rPr>
        <w:t xml:space="preserve"> mi</w:t>
      </w:r>
      <w:r w:rsidR="00D41C8A" w:rsidRPr="000909AB">
        <w:rPr>
          <w:rFonts w:ascii="Times New Roman" w:hAnsi="Times New Roman" w:cs="Times New Roman"/>
          <w:sz w:val="24"/>
          <w:szCs w:val="24"/>
        </w:rPr>
        <w:t>e</w:t>
      </w:r>
      <w:r w:rsidRPr="000909AB">
        <w:rPr>
          <w:rFonts w:ascii="Times New Roman" w:hAnsi="Times New Roman" w:cs="Times New Roman"/>
          <w:sz w:val="24"/>
          <w:szCs w:val="24"/>
        </w:rPr>
        <w:t>j</w:t>
      </w:r>
      <w:r w:rsidR="00D41C8A" w:rsidRPr="000909AB">
        <w:rPr>
          <w:rFonts w:ascii="Times New Roman" w:hAnsi="Times New Roman" w:cs="Times New Roman"/>
          <w:sz w:val="24"/>
          <w:szCs w:val="24"/>
        </w:rPr>
        <w:t>s</w:t>
      </w:r>
      <w:r w:rsidRPr="000909AB">
        <w:rPr>
          <w:rFonts w:ascii="Times New Roman" w:hAnsi="Times New Roman" w:cs="Times New Roman"/>
          <w:sz w:val="24"/>
          <w:szCs w:val="24"/>
        </w:rPr>
        <w:t>ca pr</w:t>
      </w:r>
      <w:r w:rsidR="00D41C8A" w:rsidRPr="000909AB">
        <w:rPr>
          <w:rFonts w:ascii="Times New Roman" w:hAnsi="Times New Roman" w:cs="Times New Roman"/>
          <w:sz w:val="24"/>
          <w:szCs w:val="24"/>
        </w:rPr>
        <w:t>a</w:t>
      </w:r>
      <w:r w:rsidRPr="000909AB">
        <w:rPr>
          <w:rFonts w:ascii="Times New Roman" w:hAnsi="Times New Roman" w:cs="Times New Roman"/>
          <w:sz w:val="24"/>
          <w:szCs w:val="24"/>
        </w:rPr>
        <w:t>cy</w:t>
      </w:r>
      <w:r w:rsidR="00DB618F" w:rsidRPr="000909AB">
        <w:rPr>
          <w:rFonts w:ascii="Times New Roman" w:hAnsi="Times New Roman" w:cs="Times New Roman"/>
          <w:sz w:val="24"/>
          <w:szCs w:val="24"/>
        </w:rPr>
        <w:t>. Przestrzenny</w:t>
      </w:r>
      <w:r w:rsidRPr="000909AB">
        <w:rPr>
          <w:rFonts w:ascii="Times New Roman" w:hAnsi="Times New Roman" w:cs="Times New Roman"/>
          <w:sz w:val="24"/>
          <w:szCs w:val="24"/>
        </w:rPr>
        <w:t xml:space="preserve"> </w:t>
      </w:r>
      <w:r w:rsidR="003E7F27" w:rsidRPr="000909AB">
        <w:rPr>
          <w:rFonts w:ascii="Times New Roman" w:hAnsi="Times New Roman" w:cs="Times New Roman"/>
          <w:sz w:val="24"/>
          <w:szCs w:val="24"/>
        </w:rPr>
        <w:t xml:space="preserve">rozkład </w:t>
      </w:r>
      <w:r w:rsidR="00DB618F" w:rsidRPr="000909AB">
        <w:rPr>
          <w:rFonts w:ascii="Times New Roman" w:hAnsi="Times New Roman" w:cs="Times New Roman"/>
          <w:sz w:val="24"/>
          <w:szCs w:val="24"/>
        </w:rPr>
        <w:t xml:space="preserve">dojeżdżających </w:t>
      </w:r>
      <w:r w:rsidR="003E7F27" w:rsidRPr="000909AB">
        <w:rPr>
          <w:rFonts w:ascii="Times New Roman" w:hAnsi="Times New Roman" w:cs="Times New Roman"/>
          <w:sz w:val="24"/>
          <w:szCs w:val="24"/>
        </w:rPr>
        <w:t xml:space="preserve">jest </w:t>
      </w:r>
      <w:r w:rsidR="00ED18D1" w:rsidRPr="000909AB">
        <w:rPr>
          <w:rFonts w:ascii="Times New Roman" w:hAnsi="Times New Roman" w:cs="Times New Roman"/>
          <w:sz w:val="24"/>
          <w:szCs w:val="24"/>
        </w:rPr>
        <w:t xml:space="preserve">w </w:t>
      </w:r>
      <w:r w:rsidR="00A04AD7" w:rsidRPr="000909AB">
        <w:rPr>
          <w:rFonts w:ascii="Times New Roman" w:hAnsi="Times New Roman" w:cs="Times New Roman"/>
          <w:sz w:val="24"/>
          <w:szCs w:val="24"/>
        </w:rPr>
        <w:t xml:space="preserve">znacznej mierze ukształtowany przez </w:t>
      </w:r>
      <w:r w:rsidR="003E7F27" w:rsidRPr="000909AB">
        <w:rPr>
          <w:rFonts w:ascii="Times New Roman" w:hAnsi="Times New Roman" w:cs="Times New Roman"/>
          <w:sz w:val="24"/>
          <w:szCs w:val="24"/>
        </w:rPr>
        <w:t>potencja</w:t>
      </w:r>
      <w:r w:rsidR="00D41C8A" w:rsidRPr="000909AB">
        <w:rPr>
          <w:rFonts w:ascii="Times New Roman" w:hAnsi="Times New Roman" w:cs="Times New Roman"/>
          <w:sz w:val="24"/>
          <w:szCs w:val="24"/>
        </w:rPr>
        <w:t>ł</w:t>
      </w:r>
      <w:r w:rsidR="003E7F27" w:rsidRPr="000909AB">
        <w:rPr>
          <w:rFonts w:ascii="Times New Roman" w:hAnsi="Times New Roman" w:cs="Times New Roman"/>
          <w:sz w:val="24"/>
          <w:szCs w:val="24"/>
        </w:rPr>
        <w:t xml:space="preserve"> demograficzno</w:t>
      </w:r>
      <w:r w:rsidR="00D41C8A" w:rsidRPr="000909AB">
        <w:rPr>
          <w:rFonts w:ascii="Times New Roman" w:hAnsi="Times New Roman" w:cs="Times New Roman"/>
          <w:sz w:val="24"/>
          <w:szCs w:val="24"/>
        </w:rPr>
        <w:t xml:space="preserve"> – </w:t>
      </w:r>
      <w:r w:rsidR="003E7F27" w:rsidRPr="000909AB">
        <w:rPr>
          <w:rFonts w:ascii="Times New Roman" w:hAnsi="Times New Roman" w:cs="Times New Roman"/>
          <w:sz w:val="24"/>
          <w:szCs w:val="24"/>
        </w:rPr>
        <w:t>ek</w:t>
      </w:r>
      <w:r w:rsidR="00C8225B" w:rsidRPr="000909AB">
        <w:rPr>
          <w:rFonts w:ascii="Times New Roman" w:hAnsi="Times New Roman" w:cs="Times New Roman"/>
          <w:sz w:val="24"/>
          <w:szCs w:val="24"/>
        </w:rPr>
        <w:t>onomiczny danego regionu. W</w:t>
      </w:r>
      <w:r w:rsidR="00D41C8A" w:rsidRPr="000909AB">
        <w:rPr>
          <w:rFonts w:ascii="Times New Roman" w:hAnsi="Times New Roman" w:cs="Times New Roman"/>
          <w:sz w:val="24"/>
          <w:szCs w:val="24"/>
        </w:rPr>
        <w:t xml:space="preserve"> </w:t>
      </w:r>
      <w:r w:rsidR="00C8225B" w:rsidRPr="000909AB">
        <w:rPr>
          <w:rFonts w:ascii="Times New Roman" w:hAnsi="Times New Roman" w:cs="Times New Roman"/>
          <w:sz w:val="24"/>
          <w:szCs w:val="24"/>
        </w:rPr>
        <w:t xml:space="preserve">tej </w:t>
      </w:r>
      <w:r w:rsidR="00D41C8A" w:rsidRPr="000909AB">
        <w:rPr>
          <w:rFonts w:ascii="Times New Roman" w:hAnsi="Times New Roman" w:cs="Times New Roman"/>
          <w:sz w:val="24"/>
          <w:szCs w:val="24"/>
        </w:rPr>
        <w:t xml:space="preserve">rozpatrywanej grupie ludności </w:t>
      </w:r>
      <w:r w:rsidR="00C8225B" w:rsidRPr="000909AB">
        <w:rPr>
          <w:rFonts w:ascii="Times New Roman" w:hAnsi="Times New Roman" w:cs="Times New Roman"/>
          <w:sz w:val="24"/>
          <w:szCs w:val="24"/>
        </w:rPr>
        <w:t xml:space="preserve">przeważają mieszkańcy miast (choć zdarzają się wyjątki od tej reguły), widoczna jest też </w:t>
      </w:r>
      <w:r w:rsidR="00ED18D1" w:rsidRPr="000909AB">
        <w:rPr>
          <w:rFonts w:ascii="Times New Roman" w:hAnsi="Times New Roman" w:cs="Times New Roman"/>
          <w:sz w:val="24"/>
          <w:szCs w:val="24"/>
        </w:rPr>
        <w:t xml:space="preserve">wyraźna </w:t>
      </w:r>
      <w:r w:rsidR="003E7F27" w:rsidRPr="000909AB">
        <w:rPr>
          <w:rFonts w:ascii="Times New Roman" w:hAnsi="Times New Roman" w:cs="Times New Roman"/>
          <w:sz w:val="24"/>
          <w:szCs w:val="24"/>
        </w:rPr>
        <w:t>dominacja mężczyzn. Wyst</w:t>
      </w:r>
      <w:r w:rsidR="00D41C8A" w:rsidRPr="000909AB">
        <w:rPr>
          <w:rFonts w:ascii="Times New Roman" w:hAnsi="Times New Roman" w:cs="Times New Roman"/>
          <w:sz w:val="24"/>
          <w:szCs w:val="24"/>
        </w:rPr>
        <w:t>ę</w:t>
      </w:r>
      <w:r w:rsidR="003E7F27" w:rsidRPr="000909AB">
        <w:rPr>
          <w:rFonts w:ascii="Times New Roman" w:hAnsi="Times New Roman" w:cs="Times New Roman"/>
          <w:sz w:val="24"/>
          <w:szCs w:val="24"/>
        </w:rPr>
        <w:t xml:space="preserve">puje </w:t>
      </w:r>
      <w:r w:rsidR="00D41C8A" w:rsidRPr="000909AB">
        <w:rPr>
          <w:rFonts w:ascii="Times New Roman" w:hAnsi="Times New Roman" w:cs="Times New Roman"/>
          <w:sz w:val="24"/>
          <w:szCs w:val="24"/>
        </w:rPr>
        <w:t xml:space="preserve">tutaj </w:t>
      </w:r>
      <w:r w:rsidR="00C446EE" w:rsidRPr="000909AB">
        <w:rPr>
          <w:rFonts w:ascii="Times New Roman" w:hAnsi="Times New Roman" w:cs="Times New Roman"/>
          <w:sz w:val="24"/>
          <w:szCs w:val="24"/>
        </w:rPr>
        <w:t>ponadto</w:t>
      </w:r>
      <w:r w:rsidR="003E7F27" w:rsidRPr="000909AB">
        <w:rPr>
          <w:rFonts w:ascii="Times New Roman" w:hAnsi="Times New Roman" w:cs="Times New Roman"/>
          <w:sz w:val="24"/>
          <w:szCs w:val="24"/>
        </w:rPr>
        <w:t xml:space="preserve"> tendencja „przyciągania miejskiego”, </w:t>
      </w:r>
      <w:r w:rsidR="00D41C8A" w:rsidRPr="000909AB">
        <w:rPr>
          <w:rFonts w:ascii="Times New Roman" w:hAnsi="Times New Roman" w:cs="Times New Roman"/>
          <w:sz w:val="24"/>
          <w:szCs w:val="24"/>
        </w:rPr>
        <w:t>co</w:t>
      </w:r>
      <w:r w:rsidR="003E7F27" w:rsidRPr="000909AB">
        <w:rPr>
          <w:rFonts w:ascii="Times New Roman" w:hAnsi="Times New Roman" w:cs="Times New Roman"/>
          <w:sz w:val="24"/>
          <w:szCs w:val="24"/>
        </w:rPr>
        <w:t xml:space="preserve"> o</w:t>
      </w:r>
      <w:r w:rsidR="00D41C8A" w:rsidRPr="000909AB">
        <w:rPr>
          <w:rFonts w:ascii="Times New Roman" w:hAnsi="Times New Roman" w:cs="Times New Roman"/>
          <w:sz w:val="24"/>
          <w:szCs w:val="24"/>
        </w:rPr>
        <w:t>z</w:t>
      </w:r>
      <w:r w:rsidR="003E7F27" w:rsidRPr="000909AB">
        <w:rPr>
          <w:rFonts w:ascii="Times New Roman" w:hAnsi="Times New Roman" w:cs="Times New Roman"/>
          <w:sz w:val="24"/>
          <w:szCs w:val="24"/>
        </w:rPr>
        <w:t>nacza, że zarówno</w:t>
      </w:r>
      <w:r w:rsidR="004C6647" w:rsidRPr="000909AB">
        <w:rPr>
          <w:rFonts w:ascii="Times New Roman" w:hAnsi="Times New Roman" w:cs="Times New Roman"/>
          <w:sz w:val="24"/>
          <w:szCs w:val="24"/>
        </w:rPr>
        <w:t xml:space="preserve"> mieszkańcy mi</w:t>
      </w:r>
      <w:r w:rsidR="00D41C8A" w:rsidRPr="000909AB">
        <w:rPr>
          <w:rFonts w:ascii="Times New Roman" w:hAnsi="Times New Roman" w:cs="Times New Roman"/>
          <w:sz w:val="24"/>
          <w:szCs w:val="24"/>
        </w:rPr>
        <w:t>a</w:t>
      </w:r>
      <w:r w:rsidR="009F1E75">
        <w:rPr>
          <w:rFonts w:ascii="Times New Roman" w:hAnsi="Times New Roman" w:cs="Times New Roman"/>
          <w:sz w:val="24"/>
          <w:szCs w:val="24"/>
        </w:rPr>
        <w:t>st jak i </w:t>
      </w:r>
      <w:r w:rsidR="004C6647" w:rsidRPr="000909AB">
        <w:rPr>
          <w:rFonts w:ascii="Times New Roman" w:hAnsi="Times New Roman" w:cs="Times New Roman"/>
          <w:sz w:val="24"/>
          <w:szCs w:val="24"/>
        </w:rPr>
        <w:t>wsi częściej doj</w:t>
      </w:r>
      <w:r w:rsidR="00D41C8A" w:rsidRPr="000909AB">
        <w:rPr>
          <w:rFonts w:ascii="Times New Roman" w:hAnsi="Times New Roman" w:cs="Times New Roman"/>
          <w:sz w:val="24"/>
          <w:szCs w:val="24"/>
        </w:rPr>
        <w:t>e</w:t>
      </w:r>
      <w:r w:rsidR="004C6647" w:rsidRPr="000909AB">
        <w:rPr>
          <w:rFonts w:ascii="Times New Roman" w:hAnsi="Times New Roman" w:cs="Times New Roman"/>
          <w:sz w:val="24"/>
          <w:szCs w:val="24"/>
        </w:rPr>
        <w:t>ż</w:t>
      </w:r>
      <w:r w:rsidR="00D41C8A" w:rsidRPr="000909AB">
        <w:rPr>
          <w:rFonts w:ascii="Times New Roman" w:hAnsi="Times New Roman" w:cs="Times New Roman"/>
          <w:sz w:val="24"/>
          <w:szCs w:val="24"/>
        </w:rPr>
        <w:t>dżaj</w:t>
      </w:r>
      <w:r w:rsidR="004C6647" w:rsidRPr="000909AB">
        <w:rPr>
          <w:rFonts w:ascii="Times New Roman" w:hAnsi="Times New Roman" w:cs="Times New Roman"/>
          <w:sz w:val="24"/>
          <w:szCs w:val="24"/>
        </w:rPr>
        <w:t>ą do pr</w:t>
      </w:r>
      <w:r w:rsidR="00D41C8A" w:rsidRPr="000909AB">
        <w:rPr>
          <w:rFonts w:ascii="Times New Roman" w:hAnsi="Times New Roman" w:cs="Times New Roman"/>
          <w:sz w:val="24"/>
          <w:szCs w:val="24"/>
        </w:rPr>
        <w:t>a</w:t>
      </w:r>
      <w:r w:rsidR="004C6647" w:rsidRPr="000909AB">
        <w:rPr>
          <w:rFonts w:ascii="Times New Roman" w:hAnsi="Times New Roman" w:cs="Times New Roman"/>
          <w:sz w:val="24"/>
          <w:szCs w:val="24"/>
        </w:rPr>
        <w:t>cy w mieście niż na wsi.</w:t>
      </w:r>
      <w:r w:rsidR="003E7F27" w:rsidRPr="000909AB">
        <w:rPr>
          <w:rFonts w:ascii="Times New Roman" w:hAnsi="Times New Roman" w:cs="Times New Roman"/>
          <w:sz w:val="24"/>
          <w:szCs w:val="24"/>
        </w:rPr>
        <w:t xml:space="preserve"> </w:t>
      </w:r>
    </w:p>
    <w:p w:rsidR="004C6647" w:rsidRPr="000909AB" w:rsidRDefault="004C43C9" w:rsidP="000909AB">
      <w:pPr>
        <w:pStyle w:val="tekstgl"/>
        <w:spacing w:after="0" w:line="360" w:lineRule="auto"/>
        <w:ind w:firstLine="709"/>
        <w:rPr>
          <w:rFonts w:ascii="Times New Roman" w:hAnsi="Times New Roman" w:cs="Times New Roman"/>
          <w:sz w:val="24"/>
          <w:szCs w:val="24"/>
        </w:rPr>
      </w:pPr>
      <w:r w:rsidRPr="000909AB">
        <w:rPr>
          <w:rFonts w:ascii="Times New Roman" w:hAnsi="Times New Roman" w:cs="Times New Roman"/>
          <w:sz w:val="24"/>
          <w:szCs w:val="24"/>
        </w:rPr>
        <w:t xml:space="preserve">Przyglądając </w:t>
      </w:r>
      <w:r w:rsidR="004C6647" w:rsidRPr="000909AB">
        <w:rPr>
          <w:rFonts w:ascii="Times New Roman" w:hAnsi="Times New Roman" w:cs="Times New Roman"/>
          <w:sz w:val="24"/>
          <w:szCs w:val="24"/>
        </w:rPr>
        <w:t>się bliżej zwi</w:t>
      </w:r>
      <w:r w:rsidR="00D41C8A" w:rsidRPr="000909AB">
        <w:rPr>
          <w:rFonts w:ascii="Times New Roman" w:hAnsi="Times New Roman" w:cs="Times New Roman"/>
          <w:sz w:val="24"/>
          <w:szCs w:val="24"/>
        </w:rPr>
        <w:t>ą</w:t>
      </w:r>
      <w:r w:rsidR="004C6647" w:rsidRPr="000909AB">
        <w:rPr>
          <w:rFonts w:ascii="Times New Roman" w:hAnsi="Times New Roman" w:cs="Times New Roman"/>
          <w:sz w:val="24"/>
          <w:szCs w:val="24"/>
        </w:rPr>
        <w:t>z</w:t>
      </w:r>
      <w:r w:rsidR="00D41C8A" w:rsidRPr="000909AB">
        <w:rPr>
          <w:rFonts w:ascii="Times New Roman" w:hAnsi="Times New Roman" w:cs="Times New Roman"/>
          <w:sz w:val="24"/>
          <w:szCs w:val="24"/>
        </w:rPr>
        <w:t>a</w:t>
      </w:r>
      <w:r w:rsidR="004C6647" w:rsidRPr="000909AB">
        <w:rPr>
          <w:rFonts w:ascii="Times New Roman" w:hAnsi="Times New Roman" w:cs="Times New Roman"/>
          <w:sz w:val="24"/>
          <w:szCs w:val="24"/>
        </w:rPr>
        <w:t>nym</w:t>
      </w:r>
      <w:r w:rsidR="00561F1A" w:rsidRPr="000909AB">
        <w:rPr>
          <w:rFonts w:ascii="Times New Roman" w:hAnsi="Times New Roman" w:cs="Times New Roman"/>
          <w:sz w:val="24"/>
          <w:szCs w:val="24"/>
        </w:rPr>
        <w:t xml:space="preserve"> </w:t>
      </w:r>
      <w:r w:rsidR="004C6647" w:rsidRPr="000909AB">
        <w:rPr>
          <w:rFonts w:ascii="Times New Roman" w:hAnsi="Times New Roman" w:cs="Times New Roman"/>
          <w:sz w:val="24"/>
          <w:szCs w:val="24"/>
        </w:rPr>
        <w:t xml:space="preserve">z </w:t>
      </w:r>
      <w:r w:rsidR="00E61BAF" w:rsidRPr="000909AB">
        <w:rPr>
          <w:rFonts w:ascii="Times New Roman" w:hAnsi="Times New Roman" w:cs="Times New Roman"/>
          <w:sz w:val="24"/>
          <w:szCs w:val="24"/>
        </w:rPr>
        <w:t>pracą</w:t>
      </w:r>
      <w:r w:rsidR="004C6647" w:rsidRPr="000909AB">
        <w:rPr>
          <w:rFonts w:ascii="Times New Roman" w:hAnsi="Times New Roman" w:cs="Times New Roman"/>
          <w:sz w:val="24"/>
          <w:szCs w:val="24"/>
        </w:rPr>
        <w:t xml:space="preserve"> przemieszc</w:t>
      </w:r>
      <w:r w:rsidR="00D41C8A" w:rsidRPr="000909AB">
        <w:rPr>
          <w:rFonts w:ascii="Times New Roman" w:hAnsi="Times New Roman" w:cs="Times New Roman"/>
          <w:sz w:val="24"/>
          <w:szCs w:val="24"/>
        </w:rPr>
        <w:t>z</w:t>
      </w:r>
      <w:r w:rsidR="004C6647" w:rsidRPr="000909AB">
        <w:rPr>
          <w:rFonts w:ascii="Times New Roman" w:hAnsi="Times New Roman" w:cs="Times New Roman"/>
          <w:sz w:val="24"/>
          <w:szCs w:val="24"/>
        </w:rPr>
        <w:t>eniom ludno</w:t>
      </w:r>
      <w:r w:rsidR="00D41C8A" w:rsidRPr="000909AB">
        <w:rPr>
          <w:rFonts w:ascii="Times New Roman" w:hAnsi="Times New Roman" w:cs="Times New Roman"/>
          <w:sz w:val="24"/>
          <w:szCs w:val="24"/>
        </w:rPr>
        <w:t>śc</w:t>
      </w:r>
      <w:r w:rsidR="004C6647" w:rsidRPr="000909AB">
        <w:rPr>
          <w:rFonts w:ascii="Times New Roman" w:hAnsi="Times New Roman" w:cs="Times New Roman"/>
          <w:sz w:val="24"/>
          <w:szCs w:val="24"/>
        </w:rPr>
        <w:t>i pomi</w:t>
      </w:r>
      <w:r w:rsidR="00D41C8A" w:rsidRPr="000909AB">
        <w:rPr>
          <w:rFonts w:ascii="Times New Roman" w:hAnsi="Times New Roman" w:cs="Times New Roman"/>
          <w:sz w:val="24"/>
          <w:szCs w:val="24"/>
        </w:rPr>
        <w:t>ę</w:t>
      </w:r>
      <w:r w:rsidR="004C6647" w:rsidRPr="000909AB">
        <w:rPr>
          <w:rFonts w:ascii="Times New Roman" w:hAnsi="Times New Roman" w:cs="Times New Roman"/>
          <w:sz w:val="24"/>
          <w:szCs w:val="24"/>
        </w:rPr>
        <w:t>dzy ró</w:t>
      </w:r>
      <w:r w:rsidR="00D41C8A" w:rsidRPr="000909AB">
        <w:rPr>
          <w:rFonts w:ascii="Times New Roman" w:hAnsi="Times New Roman" w:cs="Times New Roman"/>
          <w:sz w:val="24"/>
          <w:szCs w:val="24"/>
        </w:rPr>
        <w:t>ż</w:t>
      </w:r>
      <w:r w:rsidR="004C6647" w:rsidRPr="000909AB">
        <w:rPr>
          <w:rFonts w:ascii="Times New Roman" w:hAnsi="Times New Roman" w:cs="Times New Roman"/>
          <w:sz w:val="24"/>
          <w:szCs w:val="24"/>
        </w:rPr>
        <w:t>nymi typa</w:t>
      </w:r>
      <w:r w:rsidRPr="000909AB">
        <w:rPr>
          <w:rFonts w:ascii="Times New Roman" w:hAnsi="Times New Roman" w:cs="Times New Roman"/>
          <w:sz w:val="24"/>
          <w:szCs w:val="24"/>
        </w:rPr>
        <w:t>mi jednostek przestrzennych, można zauważyć</w:t>
      </w:r>
      <w:r w:rsidR="004C6647" w:rsidRPr="000909AB">
        <w:rPr>
          <w:rFonts w:ascii="Times New Roman" w:hAnsi="Times New Roman" w:cs="Times New Roman"/>
          <w:sz w:val="24"/>
          <w:szCs w:val="24"/>
        </w:rPr>
        <w:t xml:space="preserve">, </w:t>
      </w:r>
      <w:r w:rsidR="00050CDA" w:rsidRPr="000909AB">
        <w:rPr>
          <w:rFonts w:ascii="Times New Roman" w:hAnsi="Times New Roman" w:cs="Times New Roman"/>
          <w:sz w:val="24"/>
          <w:szCs w:val="24"/>
        </w:rPr>
        <w:t>ż</w:t>
      </w:r>
      <w:r w:rsidR="004C6647" w:rsidRPr="000909AB">
        <w:rPr>
          <w:rFonts w:ascii="Times New Roman" w:hAnsi="Times New Roman" w:cs="Times New Roman"/>
          <w:sz w:val="24"/>
          <w:szCs w:val="24"/>
        </w:rPr>
        <w:t>e w trakcie dojazdu do p</w:t>
      </w:r>
      <w:r w:rsidR="00D41C8A" w:rsidRPr="000909AB">
        <w:rPr>
          <w:rFonts w:ascii="Times New Roman" w:hAnsi="Times New Roman" w:cs="Times New Roman"/>
          <w:sz w:val="24"/>
          <w:szCs w:val="24"/>
        </w:rPr>
        <w:t>r</w:t>
      </w:r>
      <w:r w:rsidR="004C6647" w:rsidRPr="000909AB">
        <w:rPr>
          <w:rFonts w:ascii="Times New Roman" w:hAnsi="Times New Roman" w:cs="Times New Roman"/>
          <w:sz w:val="24"/>
          <w:szCs w:val="24"/>
        </w:rPr>
        <w:t>acy poza wła</w:t>
      </w:r>
      <w:r w:rsidR="00D41C8A" w:rsidRPr="000909AB">
        <w:rPr>
          <w:rFonts w:ascii="Times New Roman" w:hAnsi="Times New Roman" w:cs="Times New Roman"/>
          <w:sz w:val="24"/>
          <w:szCs w:val="24"/>
        </w:rPr>
        <w:t>s</w:t>
      </w:r>
      <w:r w:rsidR="004C6647" w:rsidRPr="000909AB">
        <w:rPr>
          <w:rFonts w:ascii="Times New Roman" w:hAnsi="Times New Roman" w:cs="Times New Roman"/>
          <w:sz w:val="24"/>
          <w:szCs w:val="24"/>
        </w:rPr>
        <w:t>ne województwo wyjeżd</w:t>
      </w:r>
      <w:r w:rsidR="00D41C8A" w:rsidRPr="000909AB">
        <w:rPr>
          <w:rFonts w:ascii="Times New Roman" w:hAnsi="Times New Roman" w:cs="Times New Roman"/>
          <w:sz w:val="24"/>
          <w:szCs w:val="24"/>
        </w:rPr>
        <w:t>ża</w:t>
      </w:r>
      <w:r w:rsidR="004C6647" w:rsidRPr="000909AB">
        <w:rPr>
          <w:rFonts w:ascii="Times New Roman" w:hAnsi="Times New Roman" w:cs="Times New Roman"/>
          <w:sz w:val="24"/>
          <w:szCs w:val="24"/>
        </w:rPr>
        <w:t xml:space="preserve"> p</w:t>
      </w:r>
      <w:r w:rsidR="00ED18D1" w:rsidRPr="000909AB">
        <w:rPr>
          <w:rFonts w:ascii="Times New Roman" w:hAnsi="Times New Roman" w:cs="Times New Roman"/>
          <w:sz w:val="24"/>
          <w:szCs w:val="24"/>
        </w:rPr>
        <w:t>rawie</w:t>
      </w:r>
      <w:r w:rsidR="004C6647" w:rsidRPr="000909AB">
        <w:rPr>
          <w:rFonts w:ascii="Times New Roman" w:hAnsi="Times New Roman" w:cs="Times New Roman"/>
          <w:sz w:val="24"/>
          <w:szCs w:val="24"/>
        </w:rPr>
        <w:t xml:space="preserve"> </w:t>
      </w:r>
      <w:r w:rsidR="00ED18D1" w:rsidRPr="000909AB">
        <w:rPr>
          <w:rFonts w:ascii="Times New Roman" w:hAnsi="Times New Roman" w:cs="Times New Roman"/>
          <w:sz w:val="24"/>
          <w:szCs w:val="24"/>
        </w:rPr>
        <w:t>4</w:t>
      </w:r>
      <w:r w:rsidR="004C6647" w:rsidRPr="000909AB">
        <w:rPr>
          <w:rFonts w:ascii="Times New Roman" w:hAnsi="Times New Roman" w:cs="Times New Roman"/>
          <w:sz w:val="24"/>
          <w:szCs w:val="24"/>
        </w:rPr>
        <w:t>% doj</w:t>
      </w:r>
      <w:r w:rsidR="00D41C8A" w:rsidRPr="000909AB">
        <w:rPr>
          <w:rFonts w:ascii="Times New Roman" w:hAnsi="Times New Roman" w:cs="Times New Roman"/>
          <w:sz w:val="24"/>
          <w:szCs w:val="24"/>
        </w:rPr>
        <w:t>e</w:t>
      </w:r>
      <w:r w:rsidR="004C6647" w:rsidRPr="000909AB">
        <w:rPr>
          <w:rFonts w:ascii="Times New Roman" w:hAnsi="Times New Roman" w:cs="Times New Roman"/>
          <w:sz w:val="24"/>
          <w:szCs w:val="24"/>
        </w:rPr>
        <w:t>żd</w:t>
      </w:r>
      <w:r w:rsidR="00D41C8A" w:rsidRPr="000909AB">
        <w:rPr>
          <w:rFonts w:ascii="Times New Roman" w:hAnsi="Times New Roman" w:cs="Times New Roman"/>
          <w:sz w:val="24"/>
          <w:szCs w:val="24"/>
        </w:rPr>
        <w:t>żaj</w:t>
      </w:r>
      <w:r w:rsidR="004C6647" w:rsidRPr="000909AB">
        <w:rPr>
          <w:rFonts w:ascii="Times New Roman" w:hAnsi="Times New Roman" w:cs="Times New Roman"/>
          <w:sz w:val="24"/>
          <w:szCs w:val="24"/>
        </w:rPr>
        <w:t>ą</w:t>
      </w:r>
      <w:r w:rsidR="00D41C8A" w:rsidRPr="000909AB">
        <w:rPr>
          <w:rFonts w:ascii="Times New Roman" w:hAnsi="Times New Roman" w:cs="Times New Roman"/>
          <w:sz w:val="24"/>
          <w:szCs w:val="24"/>
        </w:rPr>
        <w:t>c</w:t>
      </w:r>
      <w:r w:rsidR="004C6647" w:rsidRPr="000909AB">
        <w:rPr>
          <w:rFonts w:ascii="Times New Roman" w:hAnsi="Times New Roman" w:cs="Times New Roman"/>
          <w:sz w:val="24"/>
          <w:szCs w:val="24"/>
        </w:rPr>
        <w:t xml:space="preserve">ych. Ponad 32% </w:t>
      </w:r>
      <w:r w:rsidR="00D41C8A" w:rsidRPr="000909AB">
        <w:rPr>
          <w:rFonts w:ascii="Times New Roman" w:hAnsi="Times New Roman" w:cs="Times New Roman"/>
          <w:sz w:val="24"/>
          <w:szCs w:val="24"/>
        </w:rPr>
        <w:t xml:space="preserve">dojeżdżających </w:t>
      </w:r>
      <w:r w:rsidR="004C6647" w:rsidRPr="000909AB">
        <w:rPr>
          <w:rFonts w:ascii="Times New Roman" w:hAnsi="Times New Roman" w:cs="Times New Roman"/>
          <w:sz w:val="24"/>
          <w:szCs w:val="24"/>
        </w:rPr>
        <w:t>musi jednak dotrzeć w tym celu poz</w:t>
      </w:r>
      <w:r w:rsidR="00D41C8A" w:rsidRPr="000909AB">
        <w:rPr>
          <w:rFonts w:ascii="Times New Roman" w:hAnsi="Times New Roman" w:cs="Times New Roman"/>
          <w:sz w:val="24"/>
          <w:szCs w:val="24"/>
        </w:rPr>
        <w:t>a</w:t>
      </w:r>
      <w:r w:rsidR="004C6647" w:rsidRPr="000909AB">
        <w:rPr>
          <w:rFonts w:ascii="Times New Roman" w:hAnsi="Times New Roman" w:cs="Times New Roman"/>
          <w:sz w:val="24"/>
          <w:szCs w:val="24"/>
        </w:rPr>
        <w:t xml:space="preserve"> własny po</w:t>
      </w:r>
      <w:r w:rsidR="00D41C8A" w:rsidRPr="000909AB">
        <w:rPr>
          <w:rFonts w:ascii="Times New Roman" w:hAnsi="Times New Roman" w:cs="Times New Roman"/>
          <w:sz w:val="24"/>
          <w:szCs w:val="24"/>
        </w:rPr>
        <w:t>w</w:t>
      </w:r>
      <w:r w:rsidR="004C6647" w:rsidRPr="000909AB">
        <w:rPr>
          <w:rFonts w:ascii="Times New Roman" w:hAnsi="Times New Roman" w:cs="Times New Roman"/>
          <w:sz w:val="24"/>
          <w:szCs w:val="24"/>
        </w:rPr>
        <w:t>iat, a</w:t>
      </w:r>
      <w:r w:rsidR="00D41C8A" w:rsidRPr="000909AB">
        <w:rPr>
          <w:rFonts w:ascii="Times New Roman" w:hAnsi="Times New Roman" w:cs="Times New Roman"/>
          <w:sz w:val="24"/>
          <w:szCs w:val="24"/>
        </w:rPr>
        <w:t xml:space="preserve"> </w:t>
      </w:r>
      <w:r w:rsidR="004C6647" w:rsidRPr="000909AB">
        <w:rPr>
          <w:rFonts w:ascii="Times New Roman" w:hAnsi="Times New Roman" w:cs="Times New Roman"/>
          <w:sz w:val="24"/>
          <w:szCs w:val="24"/>
        </w:rPr>
        <w:t>ponad połowa – poza gm</w:t>
      </w:r>
      <w:r w:rsidR="00D41C8A" w:rsidRPr="000909AB">
        <w:rPr>
          <w:rFonts w:ascii="Times New Roman" w:hAnsi="Times New Roman" w:cs="Times New Roman"/>
          <w:sz w:val="24"/>
          <w:szCs w:val="24"/>
        </w:rPr>
        <w:t>i</w:t>
      </w:r>
      <w:r w:rsidR="004C6647" w:rsidRPr="000909AB">
        <w:rPr>
          <w:rFonts w:ascii="Times New Roman" w:hAnsi="Times New Roman" w:cs="Times New Roman"/>
          <w:sz w:val="24"/>
          <w:szCs w:val="24"/>
        </w:rPr>
        <w:t xml:space="preserve">nę swego faktycznego zamieszkania. </w:t>
      </w:r>
      <w:r w:rsidR="005D1460" w:rsidRPr="000909AB">
        <w:rPr>
          <w:rFonts w:ascii="Times New Roman" w:hAnsi="Times New Roman" w:cs="Times New Roman"/>
          <w:sz w:val="24"/>
          <w:szCs w:val="24"/>
        </w:rPr>
        <w:t xml:space="preserve">Zdarzają się </w:t>
      </w:r>
      <w:r w:rsidR="00D41C8A" w:rsidRPr="000909AB">
        <w:rPr>
          <w:rFonts w:ascii="Times New Roman" w:hAnsi="Times New Roman" w:cs="Times New Roman"/>
          <w:sz w:val="24"/>
          <w:szCs w:val="24"/>
        </w:rPr>
        <w:t>wszakże</w:t>
      </w:r>
      <w:r w:rsidR="005D1460" w:rsidRPr="000909AB">
        <w:rPr>
          <w:rFonts w:ascii="Times New Roman" w:hAnsi="Times New Roman" w:cs="Times New Roman"/>
          <w:sz w:val="24"/>
          <w:szCs w:val="24"/>
        </w:rPr>
        <w:t xml:space="preserve"> regionalne </w:t>
      </w:r>
      <w:r w:rsidR="00D41C8A" w:rsidRPr="000909AB">
        <w:rPr>
          <w:rFonts w:ascii="Times New Roman" w:hAnsi="Times New Roman" w:cs="Times New Roman"/>
          <w:sz w:val="24"/>
          <w:szCs w:val="24"/>
        </w:rPr>
        <w:t>przypadki</w:t>
      </w:r>
      <w:r w:rsidR="005D1460" w:rsidRPr="000909AB">
        <w:rPr>
          <w:rFonts w:ascii="Times New Roman" w:hAnsi="Times New Roman" w:cs="Times New Roman"/>
          <w:sz w:val="24"/>
          <w:szCs w:val="24"/>
        </w:rPr>
        <w:t>, gdzie sytuacja jest odwrotna – dotyczy to wówczas przede wszystkim kobiet.</w:t>
      </w:r>
    </w:p>
    <w:p w:rsidR="00DA2D3A" w:rsidRPr="000909AB" w:rsidRDefault="00DA2D3A" w:rsidP="000909AB">
      <w:pPr>
        <w:pStyle w:val="tekstgl"/>
        <w:spacing w:after="0" w:line="360" w:lineRule="auto"/>
        <w:ind w:firstLine="709"/>
        <w:rPr>
          <w:rFonts w:ascii="Times New Roman" w:hAnsi="Times New Roman" w:cs="Times New Roman"/>
          <w:sz w:val="24"/>
          <w:szCs w:val="24"/>
        </w:rPr>
      </w:pPr>
      <w:r w:rsidRPr="000909AB">
        <w:rPr>
          <w:rFonts w:ascii="Times New Roman" w:hAnsi="Times New Roman" w:cs="Times New Roman"/>
          <w:sz w:val="24"/>
          <w:szCs w:val="24"/>
        </w:rPr>
        <w:t xml:space="preserve">Wśród </w:t>
      </w:r>
      <w:r w:rsidR="00D41C8A" w:rsidRPr="000909AB">
        <w:rPr>
          <w:rFonts w:ascii="Times New Roman" w:hAnsi="Times New Roman" w:cs="Times New Roman"/>
          <w:sz w:val="24"/>
          <w:szCs w:val="24"/>
        </w:rPr>
        <w:t>d</w:t>
      </w:r>
      <w:r w:rsidRPr="000909AB">
        <w:rPr>
          <w:rFonts w:ascii="Times New Roman" w:hAnsi="Times New Roman" w:cs="Times New Roman"/>
          <w:sz w:val="24"/>
          <w:szCs w:val="24"/>
        </w:rPr>
        <w:t>ojeżd</w:t>
      </w:r>
      <w:r w:rsidR="00D41C8A" w:rsidRPr="000909AB">
        <w:rPr>
          <w:rFonts w:ascii="Times New Roman" w:hAnsi="Times New Roman" w:cs="Times New Roman"/>
          <w:sz w:val="24"/>
          <w:szCs w:val="24"/>
        </w:rPr>
        <w:t>ża</w:t>
      </w:r>
      <w:r w:rsidRPr="000909AB">
        <w:rPr>
          <w:rFonts w:ascii="Times New Roman" w:hAnsi="Times New Roman" w:cs="Times New Roman"/>
          <w:sz w:val="24"/>
          <w:szCs w:val="24"/>
        </w:rPr>
        <w:t>j</w:t>
      </w:r>
      <w:r w:rsidR="00D41C8A" w:rsidRPr="000909AB">
        <w:rPr>
          <w:rFonts w:ascii="Times New Roman" w:hAnsi="Times New Roman" w:cs="Times New Roman"/>
          <w:sz w:val="24"/>
          <w:szCs w:val="24"/>
        </w:rPr>
        <w:t>ą</w:t>
      </w:r>
      <w:r w:rsidRPr="000909AB">
        <w:rPr>
          <w:rFonts w:ascii="Times New Roman" w:hAnsi="Times New Roman" w:cs="Times New Roman"/>
          <w:sz w:val="24"/>
          <w:szCs w:val="24"/>
        </w:rPr>
        <w:t>cych do pr</w:t>
      </w:r>
      <w:r w:rsidR="00D41C8A" w:rsidRPr="000909AB">
        <w:rPr>
          <w:rFonts w:ascii="Times New Roman" w:hAnsi="Times New Roman" w:cs="Times New Roman"/>
          <w:sz w:val="24"/>
          <w:szCs w:val="24"/>
        </w:rPr>
        <w:t>a</w:t>
      </w:r>
      <w:r w:rsidRPr="000909AB">
        <w:rPr>
          <w:rFonts w:ascii="Times New Roman" w:hAnsi="Times New Roman" w:cs="Times New Roman"/>
          <w:sz w:val="24"/>
          <w:szCs w:val="24"/>
        </w:rPr>
        <w:t>cy pr</w:t>
      </w:r>
      <w:r w:rsidR="00D41C8A" w:rsidRPr="000909AB">
        <w:rPr>
          <w:rFonts w:ascii="Times New Roman" w:hAnsi="Times New Roman" w:cs="Times New Roman"/>
          <w:sz w:val="24"/>
          <w:szCs w:val="24"/>
        </w:rPr>
        <w:t>z</w:t>
      </w:r>
      <w:r w:rsidRPr="000909AB">
        <w:rPr>
          <w:rFonts w:ascii="Times New Roman" w:hAnsi="Times New Roman" w:cs="Times New Roman"/>
          <w:sz w:val="24"/>
          <w:szCs w:val="24"/>
        </w:rPr>
        <w:t>ewa</w:t>
      </w:r>
      <w:r w:rsidR="00D41C8A" w:rsidRPr="000909AB">
        <w:rPr>
          <w:rFonts w:ascii="Times New Roman" w:hAnsi="Times New Roman" w:cs="Times New Roman"/>
          <w:sz w:val="24"/>
          <w:szCs w:val="24"/>
        </w:rPr>
        <w:t>ża</w:t>
      </w:r>
      <w:r w:rsidRPr="000909AB">
        <w:rPr>
          <w:rFonts w:ascii="Times New Roman" w:hAnsi="Times New Roman" w:cs="Times New Roman"/>
          <w:sz w:val="24"/>
          <w:szCs w:val="24"/>
        </w:rPr>
        <w:t>j</w:t>
      </w:r>
      <w:r w:rsidR="00D41C8A" w:rsidRPr="000909AB">
        <w:rPr>
          <w:rFonts w:ascii="Times New Roman" w:hAnsi="Times New Roman" w:cs="Times New Roman"/>
          <w:sz w:val="24"/>
          <w:szCs w:val="24"/>
        </w:rPr>
        <w:t>ą</w:t>
      </w:r>
      <w:r w:rsidRPr="000909AB">
        <w:rPr>
          <w:rFonts w:ascii="Times New Roman" w:hAnsi="Times New Roman" w:cs="Times New Roman"/>
          <w:sz w:val="24"/>
          <w:szCs w:val="24"/>
        </w:rPr>
        <w:t xml:space="preserve"> oso</w:t>
      </w:r>
      <w:r w:rsidR="008C61D6" w:rsidRPr="000909AB">
        <w:rPr>
          <w:rFonts w:ascii="Times New Roman" w:hAnsi="Times New Roman" w:cs="Times New Roman"/>
          <w:sz w:val="24"/>
          <w:szCs w:val="24"/>
        </w:rPr>
        <w:t xml:space="preserve">by z </w:t>
      </w:r>
      <w:r w:rsidRPr="000909AB">
        <w:rPr>
          <w:rFonts w:ascii="Times New Roman" w:hAnsi="Times New Roman" w:cs="Times New Roman"/>
          <w:sz w:val="24"/>
          <w:szCs w:val="24"/>
        </w:rPr>
        <w:t>wykształceniem przygotowuj</w:t>
      </w:r>
      <w:r w:rsidR="00D41C8A" w:rsidRPr="000909AB">
        <w:rPr>
          <w:rFonts w:ascii="Times New Roman" w:hAnsi="Times New Roman" w:cs="Times New Roman"/>
          <w:sz w:val="24"/>
          <w:szCs w:val="24"/>
        </w:rPr>
        <w:t>ą</w:t>
      </w:r>
      <w:r w:rsidRPr="000909AB">
        <w:rPr>
          <w:rFonts w:ascii="Times New Roman" w:hAnsi="Times New Roman" w:cs="Times New Roman"/>
          <w:sz w:val="24"/>
          <w:szCs w:val="24"/>
        </w:rPr>
        <w:t xml:space="preserve">cym do </w:t>
      </w:r>
      <w:r w:rsidR="00D41C8A" w:rsidRPr="000909AB">
        <w:rPr>
          <w:rFonts w:ascii="Times New Roman" w:hAnsi="Times New Roman" w:cs="Times New Roman"/>
          <w:sz w:val="24"/>
          <w:szCs w:val="24"/>
        </w:rPr>
        <w:t xml:space="preserve">wykonywania </w:t>
      </w:r>
      <w:r w:rsidRPr="000909AB">
        <w:rPr>
          <w:rFonts w:ascii="Times New Roman" w:hAnsi="Times New Roman" w:cs="Times New Roman"/>
          <w:sz w:val="24"/>
          <w:szCs w:val="24"/>
        </w:rPr>
        <w:t>kon</w:t>
      </w:r>
      <w:r w:rsidR="00D41C8A" w:rsidRPr="000909AB">
        <w:rPr>
          <w:rFonts w:ascii="Times New Roman" w:hAnsi="Times New Roman" w:cs="Times New Roman"/>
          <w:sz w:val="24"/>
          <w:szCs w:val="24"/>
        </w:rPr>
        <w:t>k</w:t>
      </w:r>
      <w:r w:rsidRPr="000909AB">
        <w:rPr>
          <w:rFonts w:ascii="Times New Roman" w:hAnsi="Times New Roman" w:cs="Times New Roman"/>
          <w:sz w:val="24"/>
          <w:szCs w:val="24"/>
        </w:rPr>
        <w:t>retneg</w:t>
      </w:r>
      <w:r w:rsidR="00D41C8A" w:rsidRPr="000909AB">
        <w:rPr>
          <w:rFonts w:ascii="Times New Roman" w:hAnsi="Times New Roman" w:cs="Times New Roman"/>
          <w:sz w:val="24"/>
          <w:szCs w:val="24"/>
        </w:rPr>
        <w:t>o</w:t>
      </w:r>
      <w:r w:rsidRPr="000909AB">
        <w:rPr>
          <w:rFonts w:ascii="Times New Roman" w:hAnsi="Times New Roman" w:cs="Times New Roman"/>
          <w:sz w:val="24"/>
          <w:szCs w:val="24"/>
        </w:rPr>
        <w:t xml:space="preserve"> zawodu – wyższym oraz średnim zawodowym i zasadniczym zawodowym. Jedynie u kobiet widać relatywnie </w:t>
      </w:r>
      <w:r w:rsidR="00D41C8A" w:rsidRPr="000909AB">
        <w:rPr>
          <w:rFonts w:ascii="Times New Roman" w:hAnsi="Times New Roman" w:cs="Times New Roman"/>
          <w:sz w:val="24"/>
          <w:szCs w:val="24"/>
        </w:rPr>
        <w:t>duż</w:t>
      </w:r>
      <w:r w:rsidRPr="000909AB">
        <w:rPr>
          <w:rFonts w:ascii="Times New Roman" w:hAnsi="Times New Roman" w:cs="Times New Roman"/>
          <w:sz w:val="24"/>
          <w:szCs w:val="24"/>
        </w:rPr>
        <w:t>y udzia</w:t>
      </w:r>
      <w:r w:rsidR="00D41C8A" w:rsidRPr="000909AB">
        <w:rPr>
          <w:rFonts w:ascii="Times New Roman" w:hAnsi="Times New Roman" w:cs="Times New Roman"/>
          <w:sz w:val="24"/>
          <w:szCs w:val="24"/>
        </w:rPr>
        <w:t>ł</w:t>
      </w:r>
      <w:r w:rsidRPr="000909AB">
        <w:rPr>
          <w:rFonts w:ascii="Times New Roman" w:hAnsi="Times New Roman" w:cs="Times New Roman"/>
          <w:sz w:val="24"/>
          <w:szCs w:val="24"/>
        </w:rPr>
        <w:t xml:space="preserve"> </w:t>
      </w:r>
      <w:r w:rsidR="00D41C8A" w:rsidRPr="000909AB">
        <w:rPr>
          <w:rFonts w:ascii="Times New Roman" w:hAnsi="Times New Roman" w:cs="Times New Roman"/>
          <w:sz w:val="24"/>
          <w:szCs w:val="24"/>
        </w:rPr>
        <w:t xml:space="preserve">dojeżdżających do pracy </w:t>
      </w:r>
      <w:r w:rsidRPr="000909AB">
        <w:rPr>
          <w:rFonts w:ascii="Times New Roman" w:hAnsi="Times New Roman" w:cs="Times New Roman"/>
          <w:sz w:val="24"/>
          <w:szCs w:val="24"/>
        </w:rPr>
        <w:t>osób posiada</w:t>
      </w:r>
      <w:r w:rsidR="00D41C8A" w:rsidRPr="000909AB">
        <w:rPr>
          <w:rFonts w:ascii="Times New Roman" w:hAnsi="Times New Roman" w:cs="Times New Roman"/>
          <w:sz w:val="24"/>
          <w:szCs w:val="24"/>
        </w:rPr>
        <w:t>jąc</w:t>
      </w:r>
      <w:r w:rsidRPr="000909AB">
        <w:rPr>
          <w:rFonts w:ascii="Times New Roman" w:hAnsi="Times New Roman" w:cs="Times New Roman"/>
          <w:sz w:val="24"/>
          <w:szCs w:val="24"/>
        </w:rPr>
        <w:t>y</w:t>
      </w:r>
      <w:r w:rsidR="00D41C8A" w:rsidRPr="000909AB">
        <w:rPr>
          <w:rFonts w:ascii="Times New Roman" w:hAnsi="Times New Roman" w:cs="Times New Roman"/>
          <w:sz w:val="24"/>
          <w:szCs w:val="24"/>
        </w:rPr>
        <w:t>c</w:t>
      </w:r>
      <w:r w:rsidRPr="000909AB">
        <w:rPr>
          <w:rFonts w:ascii="Times New Roman" w:hAnsi="Times New Roman" w:cs="Times New Roman"/>
          <w:sz w:val="24"/>
          <w:szCs w:val="24"/>
        </w:rPr>
        <w:t xml:space="preserve">h </w:t>
      </w:r>
      <w:r w:rsidR="00D41C8A" w:rsidRPr="000909AB">
        <w:rPr>
          <w:rFonts w:ascii="Times New Roman" w:hAnsi="Times New Roman" w:cs="Times New Roman"/>
          <w:sz w:val="24"/>
          <w:szCs w:val="24"/>
        </w:rPr>
        <w:t>ś</w:t>
      </w:r>
      <w:r w:rsidRPr="000909AB">
        <w:rPr>
          <w:rFonts w:ascii="Times New Roman" w:hAnsi="Times New Roman" w:cs="Times New Roman"/>
          <w:sz w:val="24"/>
          <w:szCs w:val="24"/>
        </w:rPr>
        <w:t>wi</w:t>
      </w:r>
      <w:r w:rsidR="00D41C8A" w:rsidRPr="000909AB">
        <w:rPr>
          <w:rFonts w:ascii="Times New Roman" w:hAnsi="Times New Roman" w:cs="Times New Roman"/>
          <w:sz w:val="24"/>
          <w:szCs w:val="24"/>
        </w:rPr>
        <w:t>a</w:t>
      </w:r>
      <w:r w:rsidRPr="000909AB">
        <w:rPr>
          <w:rFonts w:ascii="Times New Roman" w:hAnsi="Times New Roman" w:cs="Times New Roman"/>
          <w:sz w:val="24"/>
          <w:szCs w:val="24"/>
        </w:rPr>
        <w:t>d</w:t>
      </w:r>
      <w:r w:rsidR="00D41C8A" w:rsidRPr="000909AB">
        <w:rPr>
          <w:rFonts w:ascii="Times New Roman" w:hAnsi="Times New Roman" w:cs="Times New Roman"/>
          <w:sz w:val="24"/>
          <w:szCs w:val="24"/>
        </w:rPr>
        <w:t>e</w:t>
      </w:r>
      <w:r w:rsidRPr="000909AB">
        <w:rPr>
          <w:rFonts w:ascii="Times New Roman" w:hAnsi="Times New Roman" w:cs="Times New Roman"/>
          <w:sz w:val="24"/>
          <w:szCs w:val="24"/>
        </w:rPr>
        <w:t>ctwo dojrz</w:t>
      </w:r>
      <w:r w:rsidR="00D41C8A" w:rsidRPr="000909AB">
        <w:rPr>
          <w:rFonts w:ascii="Times New Roman" w:hAnsi="Times New Roman" w:cs="Times New Roman"/>
          <w:sz w:val="24"/>
          <w:szCs w:val="24"/>
        </w:rPr>
        <w:t>a</w:t>
      </w:r>
      <w:r w:rsidRPr="000909AB">
        <w:rPr>
          <w:rFonts w:ascii="Times New Roman" w:hAnsi="Times New Roman" w:cs="Times New Roman"/>
          <w:sz w:val="24"/>
          <w:szCs w:val="24"/>
        </w:rPr>
        <w:t>ł</w:t>
      </w:r>
      <w:r w:rsidR="00D41C8A" w:rsidRPr="000909AB">
        <w:rPr>
          <w:rFonts w:ascii="Times New Roman" w:hAnsi="Times New Roman" w:cs="Times New Roman"/>
          <w:sz w:val="24"/>
          <w:szCs w:val="24"/>
        </w:rPr>
        <w:t>oś</w:t>
      </w:r>
      <w:r w:rsidRPr="000909AB">
        <w:rPr>
          <w:rFonts w:ascii="Times New Roman" w:hAnsi="Times New Roman" w:cs="Times New Roman"/>
          <w:sz w:val="24"/>
          <w:szCs w:val="24"/>
        </w:rPr>
        <w:t>ci średnie</w:t>
      </w:r>
      <w:r w:rsidR="00D41C8A" w:rsidRPr="000909AB">
        <w:rPr>
          <w:rFonts w:ascii="Times New Roman" w:hAnsi="Times New Roman" w:cs="Times New Roman"/>
          <w:sz w:val="24"/>
          <w:szCs w:val="24"/>
        </w:rPr>
        <w:t>j</w:t>
      </w:r>
      <w:r w:rsidRPr="000909AB">
        <w:rPr>
          <w:rFonts w:ascii="Times New Roman" w:hAnsi="Times New Roman" w:cs="Times New Roman"/>
          <w:sz w:val="24"/>
          <w:szCs w:val="24"/>
        </w:rPr>
        <w:t xml:space="preserve"> </w:t>
      </w:r>
      <w:r w:rsidR="00D41C8A" w:rsidRPr="000909AB">
        <w:rPr>
          <w:rFonts w:ascii="Times New Roman" w:hAnsi="Times New Roman" w:cs="Times New Roman"/>
          <w:sz w:val="24"/>
          <w:szCs w:val="24"/>
        </w:rPr>
        <w:t>s</w:t>
      </w:r>
      <w:r w:rsidRPr="000909AB">
        <w:rPr>
          <w:rFonts w:ascii="Times New Roman" w:hAnsi="Times New Roman" w:cs="Times New Roman"/>
          <w:sz w:val="24"/>
          <w:szCs w:val="24"/>
        </w:rPr>
        <w:t>zkoły ogólnok</w:t>
      </w:r>
      <w:r w:rsidR="00D41C8A" w:rsidRPr="000909AB">
        <w:rPr>
          <w:rFonts w:ascii="Times New Roman" w:hAnsi="Times New Roman" w:cs="Times New Roman"/>
          <w:sz w:val="24"/>
          <w:szCs w:val="24"/>
        </w:rPr>
        <w:t>s</w:t>
      </w:r>
      <w:r w:rsidRPr="000909AB">
        <w:rPr>
          <w:rFonts w:ascii="Times New Roman" w:hAnsi="Times New Roman" w:cs="Times New Roman"/>
          <w:sz w:val="24"/>
          <w:szCs w:val="24"/>
        </w:rPr>
        <w:t>ztałcącej. Pon</w:t>
      </w:r>
      <w:r w:rsidR="00D41C8A" w:rsidRPr="000909AB">
        <w:rPr>
          <w:rFonts w:ascii="Times New Roman" w:hAnsi="Times New Roman" w:cs="Times New Roman"/>
          <w:sz w:val="24"/>
          <w:szCs w:val="24"/>
        </w:rPr>
        <w:t>a</w:t>
      </w:r>
      <w:r w:rsidRPr="000909AB">
        <w:rPr>
          <w:rFonts w:ascii="Times New Roman" w:hAnsi="Times New Roman" w:cs="Times New Roman"/>
          <w:sz w:val="24"/>
          <w:szCs w:val="24"/>
        </w:rPr>
        <w:t xml:space="preserve">d </w:t>
      </w:r>
      <w:r w:rsidR="006D7450" w:rsidRPr="000909AB">
        <w:rPr>
          <w:rFonts w:ascii="Times New Roman" w:hAnsi="Times New Roman" w:cs="Times New Roman"/>
          <w:sz w:val="24"/>
          <w:szCs w:val="24"/>
        </w:rPr>
        <w:t>88</w:t>
      </w:r>
      <w:r w:rsidRPr="000909AB">
        <w:rPr>
          <w:rFonts w:ascii="Times New Roman" w:hAnsi="Times New Roman" w:cs="Times New Roman"/>
          <w:sz w:val="24"/>
          <w:szCs w:val="24"/>
        </w:rPr>
        <w:t>% dojeżd</w:t>
      </w:r>
      <w:r w:rsidR="00D41C8A" w:rsidRPr="000909AB">
        <w:rPr>
          <w:rFonts w:ascii="Times New Roman" w:hAnsi="Times New Roman" w:cs="Times New Roman"/>
          <w:sz w:val="24"/>
          <w:szCs w:val="24"/>
        </w:rPr>
        <w:t>ża</w:t>
      </w:r>
      <w:r w:rsidRPr="000909AB">
        <w:rPr>
          <w:rFonts w:ascii="Times New Roman" w:hAnsi="Times New Roman" w:cs="Times New Roman"/>
          <w:sz w:val="24"/>
          <w:szCs w:val="24"/>
        </w:rPr>
        <w:t>j</w:t>
      </w:r>
      <w:r w:rsidR="00D41C8A" w:rsidRPr="000909AB">
        <w:rPr>
          <w:rFonts w:ascii="Times New Roman" w:hAnsi="Times New Roman" w:cs="Times New Roman"/>
          <w:sz w:val="24"/>
          <w:szCs w:val="24"/>
        </w:rPr>
        <w:t>ąc</w:t>
      </w:r>
      <w:r w:rsidRPr="000909AB">
        <w:rPr>
          <w:rFonts w:ascii="Times New Roman" w:hAnsi="Times New Roman" w:cs="Times New Roman"/>
          <w:sz w:val="24"/>
          <w:szCs w:val="24"/>
        </w:rPr>
        <w:t xml:space="preserve">ych jest wieku do 54 lat, a </w:t>
      </w:r>
      <w:r w:rsidR="00D41C8A" w:rsidRPr="000909AB">
        <w:rPr>
          <w:rFonts w:ascii="Times New Roman" w:hAnsi="Times New Roman" w:cs="Times New Roman"/>
          <w:sz w:val="24"/>
          <w:szCs w:val="24"/>
        </w:rPr>
        <w:t>szczególną</w:t>
      </w:r>
      <w:r w:rsidRPr="000909AB">
        <w:rPr>
          <w:rFonts w:ascii="Times New Roman" w:hAnsi="Times New Roman" w:cs="Times New Roman"/>
          <w:sz w:val="24"/>
          <w:szCs w:val="24"/>
        </w:rPr>
        <w:t xml:space="preserve"> </w:t>
      </w:r>
      <w:r w:rsidR="00D41C8A" w:rsidRPr="000909AB">
        <w:rPr>
          <w:rFonts w:ascii="Times New Roman" w:hAnsi="Times New Roman" w:cs="Times New Roman"/>
          <w:sz w:val="24"/>
          <w:szCs w:val="24"/>
        </w:rPr>
        <w:t>mobilność</w:t>
      </w:r>
      <w:r w:rsidR="00816A59">
        <w:rPr>
          <w:rFonts w:ascii="Times New Roman" w:hAnsi="Times New Roman" w:cs="Times New Roman"/>
          <w:sz w:val="24"/>
          <w:szCs w:val="24"/>
        </w:rPr>
        <w:t xml:space="preserve"> w </w:t>
      </w:r>
      <w:r w:rsidRPr="000909AB">
        <w:rPr>
          <w:rFonts w:ascii="Times New Roman" w:hAnsi="Times New Roman" w:cs="Times New Roman"/>
          <w:sz w:val="24"/>
          <w:szCs w:val="24"/>
        </w:rPr>
        <w:t xml:space="preserve">tym zakresie </w:t>
      </w:r>
      <w:r w:rsidR="00D41C8A" w:rsidRPr="000909AB">
        <w:rPr>
          <w:rFonts w:ascii="Times New Roman" w:hAnsi="Times New Roman" w:cs="Times New Roman"/>
          <w:sz w:val="24"/>
          <w:szCs w:val="24"/>
        </w:rPr>
        <w:t>wykazuj</w:t>
      </w:r>
      <w:r w:rsidRPr="000909AB">
        <w:rPr>
          <w:rFonts w:ascii="Times New Roman" w:hAnsi="Times New Roman" w:cs="Times New Roman"/>
          <w:sz w:val="24"/>
          <w:szCs w:val="24"/>
        </w:rPr>
        <w:t>ą osoby w wieku 25 – 34 lat – tak u m</w:t>
      </w:r>
      <w:r w:rsidR="00D41C8A" w:rsidRPr="000909AB">
        <w:rPr>
          <w:rFonts w:ascii="Times New Roman" w:hAnsi="Times New Roman" w:cs="Times New Roman"/>
          <w:sz w:val="24"/>
          <w:szCs w:val="24"/>
        </w:rPr>
        <w:t>ęż</w:t>
      </w:r>
      <w:r w:rsidRPr="000909AB">
        <w:rPr>
          <w:rFonts w:ascii="Times New Roman" w:hAnsi="Times New Roman" w:cs="Times New Roman"/>
          <w:sz w:val="24"/>
          <w:szCs w:val="24"/>
        </w:rPr>
        <w:t>czy</w:t>
      </w:r>
      <w:r w:rsidR="00D41C8A" w:rsidRPr="000909AB">
        <w:rPr>
          <w:rFonts w:ascii="Times New Roman" w:hAnsi="Times New Roman" w:cs="Times New Roman"/>
          <w:sz w:val="24"/>
          <w:szCs w:val="24"/>
        </w:rPr>
        <w:t>z</w:t>
      </w:r>
      <w:r w:rsidRPr="000909AB">
        <w:rPr>
          <w:rFonts w:ascii="Times New Roman" w:hAnsi="Times New Roman" w:cs="Times New Roman"/>
          <w:sz w:val="24"/>
          <w:szCs w:val="24"/>
        </w:rPr>
        <w:t>n jak i u kobiet.</w:t>
      </w:r>
    </w:p>
    <w:p w:rsidR="004B028A" w:rsidRPr="000909AB" w:rsidRDefault="004B028A" w:rsidP="000909AB">
      <w:pPr>
        <w:pStyle w:val="tekstgl"/>
        <w:spacing w:after="0" w:line="360" w:lineRule="auto"/>
        <w:ind w:firstLine="709"/>
        <w:rPr>
          <w:rFonts w:ascii="Times New Roman" w:hAnsi="Times New Roman" w:cs="Times New Roman"/>
          <w:sz w:val="24"/>
          <w:szCs w:val="24"/>
        </w:rPr>
      </w:pPr>
      <w:r w:rsidRPr="000909AB">
        <w:rPr>
          <w:rFonts w:ascii="Times New Roman" w:hAnsi="Times New Roman" w:cs="Times New Roman"/>
          <w:sz w:val="24"/>
          <w:szCs w:val="24"/>
        </w:rPr>
        <w:t>Większoś</w:t>
      </w:r>
      <w:r w:rsidR="00D41C8A" w:rsidRPr="000909AB">
        <w:rPr>
          <w:rFonts w:ascii="Times New Roman" w:hAnsi="Times New Roman" w:cs="Times New Roman"/>
          <w:sz w:val="24"/>
          <w:szCs w:val="24"/>
        </w:rPr>
        <w:t>ć</w:t>
      </w:r>
      <w:r w:rsidR="00B45010" w:rsidRPr="000909AB">
        <w:rPr>
          <w:rFonts w:ascii="Times New Roman" w:hAnsi="Times New Roman" w:cs="Times New Roman"/>
          <w:sz w:val="24"/>
          <w:szCs w:val="24"/>
        </w:rPr>
        <w:t xml:space="preserve"> dojeżdżaj</w:t>
      </w:r>
      <w:r w:rsidR="00D41C8A" w:rsidRPr="000909AB">
        <w:rPr>
          <w:rFonts w:ascii="Times New Roman" w:hAnsi="Times New Roman" w:cs="Times New Roman"/>
          <w:sz w:val="24"/>
          <w:szCs w:val="24"/>
        </w:rPr>
        <w:t>ąc</w:t>
      </w:r>
      <w:r w:rsidR="00B45010" w:rsidRPr="000909AB">
        <w:rPr>
          <w:rFonts w:ascii="Times New Roman" w:hAnsi="Times New Roman" w:cs="Times New Roman"/>
          <w:sz w:val="24"/>
          <w:szCs w:val="24"/>
        </w:rPr>
        <w:t>ych do pr</w:t>
      </w:r>
      <w:r w:rsidR="00D41C8A" w:rsidRPr="000909AB">
        <w:rPr>
          <w:rFonts w:ascii="Times New Roman" w:hAnsi="Times New Roman" w:cs="Times New Roman"/>
          <w:sz w:val="24"/>
          <w:szCs w:val="24"/>
        </w:rPr>
        <w:t>a</w:t>
      </w:r>
      <w:r w:rsidR="00B45010" w:rsidRPr="000909AB">
        <w:rPr>
          <w:rFonts w:ascii="Times New Roman" w:hAnsi="Times New Roman" w:cs="Times New Roman"/>
          <w:sz w:val="24"/>
          <w:szCs w:val="24"/>
        </w:rPr>
        <w:t>cy ma do pokon</w:t>
      </w:r>
      <w:r w:rsidR="00D41C8A" w:rsidRPr="000909AB">
        <w:rPr>
          <w:rFonts w:ascii="Times New Roman" w:hAnsi="Times New Roman" w:cs="Times New Roman"/>
          <w:sz w:val="24"/>
          <w:szCs w:val="24"/>
        </w:rPr>
        <w:t>an</w:t>
      </w:r>
      <w:r w:rsidR="00613060" w:rsidRPr="000909AB">
        <w:rPr>
          <w:rFonts w:ascii="Times New Roman" w:hAnsi="Times New Roman" w:cs="Times New Roman"/>
          <w:sz w:val="24"/>
          <w:szCs w:val="24"/>
        </w:rPr>
        <w:t xml:space="preserve">ia od 6 </w:t>
      </w:r>
      <w:r w:rsidR="00B45010" w:rsidRPr="000909AB">
        <w:rPr>
          <w:rFonts w:ascii="Times New Roman" w:hAnsi="Times New Roman" w:cs="Times New Roman"/>
          <w:sz w:val="24"/>
          <w:szCs w:val="24"/>
        </w:rPr>
        <w:t xml:space="preserve">do 20 </w:t>
      </w:r>
      <w:proofErr w:type="spellStart"/>
      <w:r w:rsidR="00B45010" w:rsidRPr="000909AB">
        <w:rPr>
          <w:rFonts w:ascii="Times New Roman" w:hAnsi="Times New Roman" w:cs="Times New Roman"/>
          <w:sz w:val="24"/>
          <w:szCs w:val="24"/>
        </w:rPr>
        <w:t>km</w:t>
      </w:r>
      <w:proofErr w:type="spellEnd"/>
      <w:r w:rsidR="00B45010" w:rsidRPr="000909AB">
        <w:rPr>
          <w:rFonts w:ascii="Times New Roman" w:hAnsi="Times New Roman" w:cs="Times New Roman"/>
          <w:sz w:val="24"/>
          <w:szCs w:val="24"/>
        </w:rPr>
        <w:t>. Generalni</w:t>
      </w:r>
      <w:r w:rsidR="00D41C8A" w:rsidRPr="000909AB">
        <w:rPr>
          <w:rFonts w:ascii="Times New Roman" w:hAnsi="Times New Roman" w:cs="Times New Roman"/>
          <w:sz w:val="24"/>
          <w:szCs w:val="24"/>
        </w:rPr>
        <w:t>e</w:t>
      </w:r>
      <w:r w:rsidR="00B45010" w:rsidRPr="000909AB">
        <w:rPr>
          <w:rFonts w:ascii="Times New Roman" w:hAnsi="Times New Roman" w:cs="Times New Roman"/>
          <w:sz w:val="24"/>
          <w:szCs w:val="24"/>
        </w:rPr>
        <w:t>, p</w:t>
      </w:r>
      <w:r w:rsidR="00D41C8A" w:rsidRPr="000909AB">
        <w:rPr>
          <w:rFonts w:ascii="Times New Roman" w:hAnsi="Times New Roman" w:cs="Times New Roman"/>
          <w:sz w:val="24"/>
          <w:szCs w:val="24"/>
        </w:rPr>
        <w:t>r</w:t>
      </w:r>
      <w:r w:rsidR="00B45010" w:rsidRPr="000909AB">
        <w:rPr>
          <w:rFonts w:ascii="Times New Roman" w:hAnsi="Times New Roman" w:cs="Times New Roman"/>
          <w:sz w:val="24"/>
          <w:szCs w:val="24"/>
        </w:rPr>
        <w:t>ze</w:t>
      </w:r>
      <w:r w:rsidR="00A01FA8" w:rsidRPr="000909AB">
        <w:rPr>
          <w:rFonts w:ascii="Times New Roman" w:hAnsi="Times New Roman" w:cs="Times New Roman"/>
          <w:sz w:val="24"/>
          <w:szCs w:val="24"/>
        </w:rPr>
        <w:t>c</w:t>
      </w:r>
      <w:r w:rsidR="00B45010" w:rsidRPr="000909AB">
        <w:rPr>
          <w:rFonts w:ascii="Times New Roman" w:hAnsi="Times New Roman" w:cs="Times New Roman"/>
          <w:sz w:val="24"/>
          <w:szCs w:val="24"/>
        </w:rPr>
        <w:t>i</w:t>
      </w:r>
      <w:r w:rsidR="00A01FA8" w:rsidRPr="000909AB">
        <w:rPr>
          <w:rFonts w:ascii="Times New Roman" w:hAnsi="Times New Roman" w:cs="Times New Roman"/>
          <w:sz w:val="24"/>
          <w:szCs w:val="24"/>
        </w:rPr>
        <w:t>ę</w:t>
      </w:r>
      <w:r w:rsidR="00B45010" w:rsidRPr="000909AB">
        <w:rPr>
          <w:rFonts w:ascii="Times New Roman" w:hAnsi="Times New Roman" w:cs="Times New Roman"/>
          <w:sz w:val="24"/>
          <w:szCs w:val="24"/>
        </w:rPr>
        <w:t>tna odle</w:t>
      </w:r>
      <w:r w:rsidR="00A01FA8" w:rsidRPr="000909AB">
        <w:rPr>
          <w:rFonts w:ascii="Times New Roman" w:hAnsi="Times New Roman" w:cs="Times New Roman"/>
          <w:sz w:val="24"/>
          <w:szCs w:val="24"/>
        </w:rPr>
        <w:t>g</w:t>
      </w:r>
      <w:r w:rsidR="00B45010" w:rsidRPr="000909AB">
        <w:rPr>
          <w:rFonts w:ascii="Times New Roman" w:hAnsi="Times New Roman" w:cs="Times New Roman"/>
          <w:sz w:val="24"/>
          <w:szCs w:val="24"/>
        </w:rPr>
        <w:t>łoś</w:t>
      </w:r>
      <w:r w:rsidR="00A01FA8" w:rsidRPr="000909AB">
        <w:rPr>
          <w:rFonts w:ascii="Times New Roman" w:hAnsi="Times New Roman" w:cs="Times New Roman"/>
          <w:sz w:val="24"/>
          <w:szCs w:val="24"/>
        </w:rPr>
        <w:t>ć</w:t>
      </w:r>
      <w:r w:rsidR="00B45010" w:rsidRPr="000909AB">
        <w:rPr>
          <w:rFonts w:ascii="Times New Roman" w:hAnsi="Times New Roman" w:cs="Times New Roman"/>
          <w:sz w:val="24"/>
          <w:szCs w:val="24"/>
        </w:rPr>
        <w:t xml:space="preserve"> pokonywana przez dojeżdżającego do pr</w:t>
      </w:r>
      <w:r w:rsidR="00A01FA8" w:rsidRPr="000909AB">
        <w:rPr>
          <w:rFonts w:ascii="Times New Roman" w:hAnsi="Times New Roman" w:cs="Times New Roman"/>
          <w:sz w:val="24"/>
          <w:szCs w:val="24"/>
        </w:rPr>
        <w:t>a</w:t>
      </w:r>
      <w:r w:rsidR="00B45010" w:rsidRPr="000909AB">
        <w:rPr>
          <w:rFonts w:ascii="Times New Roman" w:hAnsi="Times New Roman" w:cs="Times New Roman"/>
          <w:sz w:val="24"/>
          <w:szCs w:val="24"/>
        </w:rPr>
        <w:t>cy t</w:t>
      </w:r>
      <w:r w:rsidR="00A01FA8" w:rsidRPr="000909AB">
        <w:rPr>
          <w:rFonts w:ascii="Times New Roman" w:hAnsi="Times New Roman" w:cs="Times New Roman"/>
          <w:sz w:val="24"/>
          <w:szCs w:val="24"/>
        </w:rPr>
        <w:t>o</w:t>
      </w:r>
      <w:r w:rsidR="00B45010" w:rsidRPr="000909AB">
        <w:rPr>
          <w:rFonts w:ascii="Times New Roman" w:hAnsi="Times New Roman" w:cs="Times New Roman"/>
          <w:sz w:val="24"/>
          <w:szCs w:val="24"/>
        </w:rPr>
        <w:t xml:space="preserve"> ni</w:t>
      </w:r>
      <w:r w:rsidR="00A01FA8" w:rsidRPr="000909AB">
        <w:rPr>
          <w:rFonts w:ascii="Times New Roman" w:hAnsi="Times New Roman" w:cs="Times New Roman"/>
          <w:sz w:val="24"/>
          <w:szCs w:val="24"/>
        </w:rPr>
        <w:t>eco</w:t>
      </w:r>
      <w:r w:rsidR="00B45010" w:rsidRPr="000909AB">
        <w:rPr>
          <w:rFonts w:ascii="Times New Roman" w:hAnsi="Times New Roman" w:cs="Times New Roman"/>
          <w:sz w:val="24"/>
          <w:szCs w:val="24"/>
        </w:rPr>
        <w:t xml:space="preserve"> ponad 17 </w:t>
      </w:r>
      <w:proofErr w:type="spellStart"/>
      <w:r w:rsidR="00B45010" w:rsidRPr="000909AB">
        <w:rPr>
          <w:rFonts w:ascii="Times New Roman" w:hAnsi="Times New Roman" w:cs="Times New Roman"/>
          <w:sz w:val="24"/>
          <w:szCs w:val="24"/>
        </w:rPr>
        <w:t>km</w:t>
      </w:r>
      <w:proofErr w:type="spellEnd"/>
      <w:r w:rsidR="00B45010" w:rsidRPr="000909AB">
        <w:rPr>
          <w:rFonts w:ascii="Times New Roman" w:hAnsi="Times New Roman" w:cs="Times New Roman"/>
          <w:sz w:val="24"/>
          <w:szCs w:val="24"/>
        </w:rPr>
        <w:t>. Znamienne jest jednak to, iż kobiety doj</w:t>
      </w:r>
      <w:r w:rsidR="00A01FA8" w:rsidRPr="000909AB">
        <w:rPr>
          <w:rFonts w:ascii="Times New Roman" w:hAnsi="Times New Roman" w:cs="Times New Roman"/>
          <w:sz w:val="24"/>
          <w:szCs w:val="24"/>
        </w:rPr>
        <w:t>e</w:t>
      </w:r>
      <w:r w:rsidR="00B45010" w:rsidRPr="000909AB">
        <w:rPr>
          <w:rFonts w:ascii="Times New Roman" w:hAnsi="Times New Roman" w:cs="Times New Roman"/>
          <w:sz w:val="24"/>
          <w:szCs w:val="24"/>
        </w:rPr>
        <w:t>żd</w:t>
      </w:r>
      <w:r w:rsidR="00A01FA8" w:rsidRPr="000909AB">
        <w:rPr>
          <w:rFonts w:ascii="Times New Roman" w:hAnsi="Times New Roman" w:cs="Times New Roman"/>
          <w:sz w:val="24"/>
          <w:szCs w:val="24"/>
        </w:rPr>
        <w:t>ż</w:t>
      </w:r>
      <w:r w:rsidR="00B45010" w:rsidRPr="000909AB">
        <w:rPr>
          <w:rFonts w:ascii="Times New Roman" w:hAnsi="Times New Roman" w:cs="Times New Roman"/>
          <w:sz w:val="24"/>
          <w:szCs w:val="24"/>
        </w:rPr>
        <w:t>ają do pr</w:t>
      </w:r>
      <w:r w:rsidR="00A01FA8" w:rsidRPr="000909AB">
        <w:rPr>
          <w:rFonts w:ascii="Times New Roman" w:hAnsi="Times New Roman" w:cs="Times New Roman"/>
          <w:sz w:val="24"/>
          <w:szCs w:val="24"/>
        </w:rPr>
        <w:t>a</w:t>
      </w:r>
      <w:r w:rsidR="00B45010" w:rsidRPr="000909AB">
        <w:rPr>
          <w:rFonts w:ascii="Times New Roman" w:hAnsi="Times New Roman" w:cs="Times New Roman"/>
          <w:sz w:val="24"/>
          <w:szCs w:val="24"/>
        </w:rPr>
        <w:t>cy zlokalizowanej zazw</w:t>
      </w:r>
      <w:r w:rsidR="00A01FA8" w:rsidRPr="000909AB">
        <w:rPr>
          <w:rFonts w:ascii="Times New Roman" w:hAnsi="Times New Roman" w:cs="Times New Roman"/>
          <w:sz w:val="24"/>
          <w:szCs w:val="24"/>
        </w:rPr>
        <w:t>y</w:t>
      </w:r>
      <w:r w:rsidR="00B45010" w:rsidRPr="000909AB">
        <w:rPr>
          <w:rFonts w:ascii="Times New Roman" w:hAnsi="Times New Roman" w:cs="Times New Roman"/>
          <w:sz w:val="24"/>
          <w:szCs w:val="24"/>
        </w:rPr>
        <w:t xml:space="preserve">czaj </w:t>
      </w:r>
      <w:r w:rsidR="00A2350A">
        <w:rPr>
          <w:rFonts w:ascii="Times New Roman" w:hAnsi="Times New Roman" w:cs="Times New Roman"/>
          <w:sz w:val="24"/>
          <w:szCs w:val="24"/>
        </w:rPr>
        <w:br/>
      </w:r>
      <w:r w:rsidR="00B45010" w:rsidRPr="000909AB">
        <w:rPr>
          <w:rFonts w:ascii="Times New Roman" w:hAnsi="Times New Roman" w:cs="Times New Roman"/>
          <w:sz w:val="24"/>
          <w:szCs w:val="24"/>
        </w:rPr>
        <w:t>o 5 – 10 km bli</w:t>
      </w:r>
      <w:r w:rsidR="00A01FA8" w:rsidRPr="000909AB">
        <w:rPr>
          <w:rFonts w:ascii="Times New Roman" w:hAnsi="Times New Roman" w:cs="Times New Roman"/>
          <w:sz w:val="24"/>
          <w:szCs w:val="24"/>
        </w:rPr>
        <w:t>ż</w:t>
      </w:r>
      <w:r w:rsidR="00B45010" w:rsidRPr="000909AB">
        <w:rPr>
          <w:rFonts w:ascii="Times New Roman" w:hAnsi="Times New Roman" w:cs="Times New Roman"/>
          <w:sz w:val="24"/>
          <w:szCs w:val="24"/>
        </w:rPr>
        <w:t>ej od ich domu niż mężczyźni.</w:t>
      </w:r>
    </w:p>
    <w:p w:rsidR="00B45010" w:rsidRPr="000909AB" w:rsidRDefault="00B45010" w:rsidP="000909AB">
      <w:pPr>
        <w:pStyle w:val="tekstgl"/>
        <w:spacing w:after="0" w:line="360" w:lineRule="auto"/>
        <w:ind w:firstLine="709"/>
        <w:rPr>
          <w:rFonts w:ascii="Times New Roman" w:hAnsi="Times New Roman" w:cs="Times New Roman"/>
          <w:sz w:val="24"/>
          <w:szCs w:val="24"/>
        </w:rPr>
      </w:pPr>
      <w:r w:rsidRPr="000909AB">
        <w:rPr>
          <w:rFonts w:ascii="Times New Roman" w:hAnsi="Times New Roman" w:cs="Times New Roman"/>
          <w:sz w:val="24"/>
          <w:szCs w:val="24"/>
        </w:rPr>
        <w:t>Więk</w:t>
      </w:r>
      <w:r w:rsidR="00A01FA8" w:rsidRPr="000909AB">
        <w:rPr>
          <w:rFonts w:ascii="Times New Roman" w:hAnsi="Times New Roman" w:cs="Times New Roman"/>
          <w:sz w:val="24"/>
          <w:szCs w:val="24"/>
        </w:rPr>
        <w:t>s</w:t>
      </w:r>
      <w:r w:rsidRPr="000909AB">
        <w:rPr>
          <w:rFonts w:ascii="Times New Roman" w:hAnsi="Times New Roman" w:cs="Times New Roman"/>
          <w:sz w:val="24"/>
          <w:szCs w:val="24"/>
        </w:rPr>
        <w:t>zo</w:t>
      </w:r>
      <w:r w:rsidR="00A01FA8" w:rsidRPr="000909AB">
        <w:rPr>
          <w:rFonts w:ascii="Times New Roman" w:hAnsi="Times New Roman" w:cs="Times New Roman"/>
          <w:sz w:val="24"/>
          <w:szCs w:val="24"/>
        </w:rPr>
        <w:t>ści</w:t>
      </w:r>
      <w:r w:rsidRPr="000909AB">
        <w:rPr>
          <w:rFonts w:ascii="Times New Roman" w:hAnsi="Times New Roman" w:cs="Times New Roman"/>
          <w:sz w:val="24"/>
          <w:szCs w:val="24"/>
        </w:rPr>
        <w:t xml:space="preserve"> doje</w:t>
      </w:r>
      <w:r w:rsidR="00A01FA8" w:rsidRPr="000909AB">
        <w:rPr>
          <w:rFonts w:ascii="Times New Roman" w:hAnsi="Times New Roman" w:cs="Times New Roman"/>
          <w:sz w:val="24"/>
          <w:szCs w:val="24"/>
        </w:rPr>
        <w:t>ż</w:t>
      </w:r>
      <w:r w:rsidRPr="000909AB">
        <w:rPr>
          <w:rFonts w:ascii="Times New Roman" w:hAnsi="Times New Roman" w:cs="Times New Roman"/>
          <w:sz w:val="24"/>
          <w:szCs w:val="24"/>
        </w:rPr>
        <w:t>d</w:t>
      </w:r>
      <w:r w:rsidR="00A01FA8" w:rsidRPr="000909AB">
        <w:rPr>
          <w:rFonts w:ascii="Times New Roman" w:hAnsi="Times New Roman" w:cs="Times New Roman"/>
          <w:sz w:val="24"/>
          <w:szCs w:val="24"/>
        </w:rPr>
        <w:t>ża</w:t>
      </w:r>
      <w:r w:rsidRPr="000909AB">
        <w:rPr>
          <w:rFonts w:ascii="Times New Roman" w:hAnsi="Times New Roman" w:cs="Times New Roman"/>
          <w:sz w:val="24"/>
          <w:szCs w:val="24"/>
        </w:rPr>
        <w:t>j</w:t>
      </w:r>
      <w:r w:rsidR="00A01FA8" w:rsidRPr="000909AB">
        <w:rPr>
          <w:rFonts w:ascii="Times New Roman" w:hAnsi="Times New Roman" w:cs="Times New Roman"/>
          <w:sz w:val="24"/>
          <w:szCs w:val="24"/>
        </w:rPr>
        <w:t>ą</w:t>
      </w:r>
      <w:r w:rsidRPr="000909AB">
        <w:rPr>
          <w:rFonts w:ascii="Times New Roman" w:hAnsi="Times New Roman" w:cs="Times New Roman"/>
          <w:sz w:val="24"/>
          <w:szCs w:val="24"/>
        </w:rPr>
        <w:t>cych</w:t>
      </w:r>
      <w:r w:rsidR="00714499" w:rsidRPr="000909AB">
        <w:rPr>
          <w:rFonts w:ascii="Times New Roman" w:hAnsi="Times New Roman" w:cs="Times New Roman"/>
          <w:sz w:val="24"/>
          <w:szCs w:val="24"/>
        </w:rPr>
        <w:t xml:space="preserve"> dotarcie do pr</w:t>
      </w:r>
      <w:r w:rsidR="00A01FA8" w:rsidRPr="000909AB">
        <w:rPr>
          <w:rFonts w:ascii="Times New Roman" w:hAnsi="Times New Roman" w:cs="Times New Roman"/>
          <w:sz w:val="24"/>
          <w:szCs w:val="24"/>
        </w:rPr>
        <w:t>a</w:t>
      </w:r>
      <w:r w:rsidR="00714499" w:rsidRPr="000909AB">
        <w:rPr>
          <w:rFonts w:ascii="Times New Roman" w:hAnsi="Times New Roman" w:cs="Times New Roman"/>
          <w:sz w:val="24"/>
          <w:szCs w:val="24"/>
        </w:rPr>
        <w:t>cy zajmuje nie więcej niż pó</w:t>
      </w:r>
      <w:r w:rsidR="00EF69D4" w:rsidRPr="000909AB">
        <w:rPr>
          <w:rFonts w:ascii="Times New Roman" w:hAnsi="Times New Roman" w:cs="Times New Roman"/>
          <w:sz w:val="24"/>
          <w:szCs w:val="24"/>
        </w:rPr>
        <w:t>ł</w:t>
      </w:r>
      <w:r w:rsidR="00714499" w:rsidRPr="000909AB">
        <w:rPr>
          <w:rFonts w:ascii="Times New Roman" w:hAnsi="Times New Roman" w:cs="Times New Roman"/>
          <w:sz w:val="24"/>
          <w:szCs w:val="24"/>
        </w:rPr>
        <w:t xml:space="preserve"> godziny. Zauwa</w:t>
      </w:r>
      <w:r w:rsidR="00A01FA8" w:rsidRPr="000909AB">
        <w:rPr>
          <w:rFonts w:ascii="Times New Roman" w:hAnsi="Times New Roman" w:cs="Times New Roman"/>
          <w:sz w:val="24"/>
          <w:szCs w:val="24"/>
        </w:rPr>
        <w:t>ż</w:t>
      </w:r>
      <w:r w:rsidR="00714499" w:rsidRPr="000909AB">
        <w:rPr>
          <w:rFonts w:ascii="Times New Roman" w:hAnsi="Times New Roman" w:cs="Times New Roman"/>
          <w:sz w:val="24"/>
          <w:szCs w:val="24"/>
        </w:rPr>
        <w:t>yć przy tym należy, że równomiern</w:t>
      </w:r>
      <w:r w:rsidR="00A01FA8" w:rsidRPr="000909AB">
        <w:rPr>
          <w:rFonts w:ascii="Times New Roman" w:hAnsi="Times New Roman" w:cs="Times New Roman"/>
          <w:sz w:val="24"/>
          <w:szCs w:val="24"/>
        </w:rPr>
        <w:t>e</w:t>
      </w:r>
      <w:r w:rsidR="00714499" w:rsidRPr="000909AB">
        <w:rPr>
          <w:rFonts w:ascii="Times New Roman" w:hAnsi="Times New Roman" w:cs="Times New Roman"/>
          <w:sz w:val="24"/>
          <w:szCs w:val="24"/>
        </w:rPr>
        <w:t xml:space="preserve"> ro</w:t>
      </w:r>
      <w:r w:rsidR="00A01FA8" w:rsidRPr="000909AB">
        <w:rPr>
          <w:rFonts w:ascii="Times New Roman" w:hAnsi="Times New Roman" w:cs="Times New Roman"/>
          <w:sz w:val="24"/>
          <w:szCs w:val="24"/>
        </w:rPr>
        <w:t>z</w:t>
      </w:r>
      <w:r w:rsidR="00714499" w:rsidRPr="000909AB">
        <w:rPr>
          <w:rFonts w:ascii="Times New Roman" w:hAnsi="Times New Roman" w:cs="Times New Roman"/>
          <w:sz w:val="24"/>
          <w:szCs w:val="24"/>
        </w:rPr>
        <w:t>mieszc</w:t>
      </w:r>
      <w:r w:rsidR="00A01FA8" w:rsidRPr="000909AB">
        <w:rPr>
          <w:rFonts w:ascii="Times New Roman" w:hAnsi="Times New Roman" w:cs="Times New Roman"/>
          <w:sz w:val="24"/>
          <w:szCs w:val="24"/>
        </w:rPr>
        <w:t>z</w:t>
      </w:r>
      <w:r w:rsidR="00714499" w:rsidRPr="000909AB">
        <w:rPr>
          <w:rFonts w:ascii="Times New Roman" w:hAnsi="Times New Roman" w:cs="Times New Roman"/>
          <w:sz w:val="24"/>
          <w:szCs w:val="24"/>
        </w:rPr>
        <w:t>enie dużych mi</w:t>
      </w:r>
      <w:r w:rsidR="00A01FA8" w:rsidRPr="000909AB">
        <w:rPr>
          <w:rFonts w:ascii="Times New Roman" w:hAnsi="Times New Roman" w:cs="Times New Roman"/>
          <w:sz w:val="24"/>
          <w:szCs w:val="24"/>
        </w:rPr>
        <w:t>a</w:t>
      </w:r>
      <w:r w:rsidR="00714499" w:rsidRPr="000909AB">
        <w:rPr>
          <w:rFonts w:ascii="Times New Roman" w:hAnsi="Times New Roman" w:cs="Times New Roman"/>
          <w:sz w:val="24"/>
          <w:szCs w:val="24"/>
        </w:rPr>
        <w:t>st na danym obszarze znacznie skraca ów średni czas przejazdu. Innym ciekawym zjawiskiem wydaje się być wyp</w:t>
      </w:r>
      <w:r w:rsidR="00A01FA8" w:rsidRPr="000909AB">
        <w:rPr>
          <w:rFonts w:ascii="Times New Roman" w:hAnsi="Times New Roman" w:cs="Times New Roman"/>
          <w:sz w:val="24"/>
          <w:szCs w:val="24"/>
        </w:rPr>
        <w:t>i</w:t>
      </w:r>
      <w:r w:rsidR="00714499" w:rsidRPr="000909AB">
        <w:rPr>
          <w:rFonts w:ascii="Times New Roman" w:hAnsi="Times New Roman" w:cs="Times New Roman"/>
          <w:sz w:val="24"/>
          <w:szCs w:val="24"/>
        </w:rPr>
        <w:t>eranie komunikacji publicznej w trans</w:t>
      </w:r>
      <w:r w:rsidR="00A01FA8" w:rsidRPr="000909AB">
        <w:rPr>
          <w:rFonts w:ascii="Times New Roman" w:hAnsi="Times New Roman" w:cs="Times New Roman"/>
          <w:sz w:val="24"/>
          <w:szCs w:val="24"/>
        </w:rPr>
        <w:t>p</w:t>
      </w:r>
      <w:r w:rsidR="00714499" w:rsidRPr="000909AB">
        <w:rPr>
          <w:rFonts w:ascii="Times New Roman" w:hAnsi="Times New Roman" w:cs="Times New Roman"/>
          <w:sz w:val="24"/>
          <w:szCs w:val="24"/>
        </w:rPr>
        <w:t>orcie do pracy przez indy</w:t>
      </w:r>
      <w:r w:rsidR="00A01FA8" w:rsidRPr="000909AB">
        <w:rPr>
          <w:rFonts w:ascii="Times New Roman" w:hAnsi="Times New Roman" w:cs="Times New Roman"/>
          <w:sz w:val="24"/>
          <w:szCs w:val="24"/>
        </w:rPr>
        <w:t>wi</w:t>
      </w:r>
      <w:r w:rsidR="00714499" w:rsidRPr="000909AB">
        <w:rPr>
          <w:rFonts w:ascii="Times New Roman" w:hAnsi="Times New Roman" w:cs="Times New Roman"/>
          <w:sz w:val="24"/>
          <w:szCs w:val="24"/>
        </w:rPr>
        <w:t>du</w:t>
      </w:r>
      <w:r w:rsidR="00A01FA8" w:rsidRPr="000909AB">
        <w:rPr>
          <w:rFonts w:ascii="Times New Roman" w:hAnsi="Times New Roman" w:cs="Times New Roman"/>
          <w:sz w:val="24"/>
          <w:szCs w:val="24"/>
        </w:rPr>
        <w:t>a</w:t>
      </w:r>
      <w:r w:rsidR="00714499" w:rsidRPr="000909AB">
        <w:rPr>
          <w:rFonts w:ascii="Times New Roman" w:hAnsi="Times New Roman" w:cs="Times New Roman"/>
          <w:sz w:val="24"/>
          <w:szCs w:val="24"/>
        </w:rPr>
        <w:t>ln</w:t>
      </w:r>
      <w:r w:rsidR="00A01FA8" w:rsidRPr="000909AB">
        <w:rPr>
          <w:rFonts w:ascii="Times New Roman" w:hAnsi="Times New Roman" w:cs="Times New Roman"/>
          <w:sz w:val="24"/>
          <w:szCs w:val="24"/>
        </w:rPr>
        <w:t>e</w:t>
      </w:r>
      <w:r w:rsidR="00714499" w:rsidRPr="000909AB">
        <w:rPr>
          <w:rFonts w:ascii="Times New Roman" w:hAnsi="Times New Roman" w:cs="Times New Roman"/>
          <w:sz w:val="24"/>
          <w:szCs w:val="24"/>
        </w:rPr>
        <w:t xml:space="preserve"> </w:t>
      </w:r>
      <w:r w:rsidR="00A01FA8" w:rsidRPr="000909AB">
        <w:rPr>
          <w:rFonts w:ascii="Times New Roman" w:hAnsi="Times New Roman" w:cs="Times New Roman"/>
          <w:sz w:val="24"/>
          <w:szCs w:val="24"/>
        </w:rPr>
        <w:t>śr</w:t>
      </w:r>
      <w:r w:rsidR="00714499" w:rsidRPr="000909AB">
        <w:rPr>
          <w:rFonts w:ascii="Times New Roman" w:hAnsi="Times New Roman" w:cs="Times New Roman"/>
          <w:sz w:val="24"/>
          <w:szCs w:val="24"/>
        </w:rPr>
        <w:t xml:space="preserve">odki </w:t>
      </w:r>
      <w:r w:rsidR="00257555" w:rsidRPr="000909AB">
        <w:rPr>
          <w:rFonts w:ascii="Times New Roman" w:hAnsi="Times New Roman" w:cs="Times New Roman"/>
          <w:sz w:val="24"/>
          <w:szCs w:val="24"/>
        </w:rPr>
        <w:t xml:space="preserve">transportu </w:t>
      </w:r>
      <w:r w:rsidR="00714499" w:rsidRPr="000909AB">
        <w:rPr>
          <w:rFonts w:ascii="Times New Roman" w:hAnsi="Times New Roman" w:cs="Times New Roman"/>
          <w:sz w:val="24"/>
          <w:szCs w:val="24"/>
        </w:rPr>
        <w:t>z</w:t>
      </w:r>
      <w:r w:rsidR="00A01FA8" w:rsidRPr="000909AB">
        <w:rPr>
          <w:rFonts w:ascii="Times New Roman" w:hAnsi="Times New Roman" w:cs="Times New Roman"/>
          <w:sz w:val="24"/>
          <w:szCs w:val="24"/>
        </w:rPr>
        <w:t>or</w:t>
      </w:r>
      <w:r w:rsidR="00714499" w:rsidRPr="000909AB">
        <w:rPr>
          <w:rFonts w:ascii="Times New Roman" w:hAnsi="Times New Roman" w:cs="Times New Roman"/>
          <w:sz w:val="24"/>
          <w:szCs w:val="24"/>
        </w:rPr>
        <w:t>g</w:t>
      </w:r>
      <w:r w:rsidR="00A01FA8" w:rsidRPr="000909AB">
        <w:rPr>
          <w:rFonts w:ascii="Times New Roman" w:hAnsi="Times New Roman" w:cs="Times New Roman"/>
          <w:sz w:val="24"/>
          <w:szCs w:val="24"/>
        </w:rPr>
        <w:t>a</w:t>
      </w:r>
      <w:r w:rsidR="00714499" w:rsidRPr="000909AB">
        <w:rPr>
          <w:rFonts w:ascii="Times New Roman" w:hAnsi="Times New Roman" w:cs="Times New Roman"/>
          <w:sz w:val="24"/>
          <w:szCs w:val="24"/>
        </w:rPr>
        <w:t>n</w:t>
      </w:r>
      <w:r w:rsidR="00A01FA8" w:rsidRPr="000909AB">
        <w:rPr>
          <w:rFonts w:ascii="Times New Roman" w:hAnsi="Times New Roman" w:cs="Times New Roman"/>
          <w:sz w:val="24"/>
          <w:szCs w:val="24"/>
        </w:rPr>
        <w:t>izo</w:t>
      </w:r>
      <w:r w:rsidR="00714499" w:rsidRPr="000909AB">
        <w:rPr>
          <w:rFonts w:ascii="Times New Roman" w:hAnsi="Times New Roman" w:cs="Times New Roman"/>
          <w:sz w:val="24"/>
          <w:szCs w:val="24"/>
        </w:rPr>
        <w:t>wane przez dojeżd</w:t>
      </w:r>
      <w:r w:rsidR="00A01FA8" w:rsidRPr="000909AB">
        <w:rPr>
          <w:rFonts w:ascii="Times New Roman" w:hAnsi="Times New Roman" w:cs="Times New Roman"/>
          <w:sz w:val="24"/>
          <w:szCs w:val="24"/>
        </w:rPr>
        <w:t>żają</w:t>
      </w:r>
      <w:r w:rsidR="00714499" w:rsidRPr="000909AB">
        <w:rPr>
          <w:rFonts w:ascii="Times New Roman" w:hAnsi="Times New Roman" w:cs="Times New Roman"/>
          <w:sz w:val="24"/>
          <w:szCs w:val="24"/>
        </w:rPr>
        <w:t>cego, przede wszy</w:t>
      </w:r>
      <w:r w:rsidR="00A01FA8" w:rsidRPr="000909AB">
        <w:rPr>
          <w:rFonts w:ascii="Times New Roman" w:hAnsi="Times New Roman" w:cs="Times New Roman"/>
          <w:sz w:val="24"/>
          <w:szCs w:val="24"/>
        </w:rPr>
        <w:t>s</w:t>
      </w:r>
      <w:r w:rsidR="00714499" w:rsidRPr="000909AB">
        <w:rPr>
          <w:rFonts w:ascii="Times New Roman" w:hAnsi="Times New Roman" w:cs="Times New Roman"/>
          <w:sz w:val="24"/>
          <w:szCs w:val="24"/>
        </w:rPr>
        <w:t>tki</w:t>
      </w:r>
      <w:r w:rsidR="00A01FA8" w:rsidRPr="000909AB">
        <w:rPr>
          <w:rFonts w:ascii="Times New Roman" w:hAnsi="Times New Roman" w:cs="Times New Roman"/>
          <w:sz w:val="24"/>
          <w:szCs w:val="24"/>
        </w:rPr>
        <w:t>m</w:t>
      </w:r>
      <w:r w:rsidR="00714499" w:rsidRPr="000909AB">
        <w:rPr>
          <w:rFonts w:ascii="Times New Roman" w:hAnsi="Times New Roman" w:cs="Times New Roman"/>
          <w:sz w:val="24"/>
          <w:szCs w:val="24"/>
        </w:rPr>
        <w:t xml:space="preserve"> samochód osobowy, którym to dojeżd</w:t>
      </w:r>
      <w:r w:rsidR="00A01FA8" w:rsidRPr="000909AB">
        <w:rPr>
          <w:rFonts w:ascii="Times New Roman" w:hAnsi="Times New Roman" w:cs="Times New Roman"/>
          <w:sz w:val="24"/>
          <w:szCs w:val="24"/>
        </w:rPr>
        <w:t>żają</w:t>
      </w:r>
      <w:r w:rsidR="00714499" w:rsidRPr="000909AB">
        <w:rPr>
          <w:rFonts w:ascii="Times New Roman" w:hAnsi="Times New Roman" w:cs="Times New Roman"/>
          <w:sz w:val="24"/>
          <w:szCs w:val="24"/>
        </w:rPr>
        <w:t>cy samodzielni</w:t>
      </w:r>
      <w:r w:rsidR="00A01FA8" w:rsidRPr="000909AB">
        <w:rPr>
          <w:rFonts w:ascii="Times New Roman" w:hAnsi="Times New Roman" w:cs="Times New Roman"/>
          <w:sz w:val="24"/>
          <w:szCs w:val="24"/>
        </w:rPr>
        <w:t>e</w:t>
      </w:r>
      <w:r w:rsidR="00714499" w:rsidRPr="000909AB">
        <w:rPr>
          <w:rFonts w:ascii="Times New Roman" w:hAnsi="Times New Roman" w:cs="Times New Roman"/>
          <w:sz w:val="24"/>
          <w:szCs w:val="24"/>
        </w:rPr>
        <w:t xml:space="preserve"> ki</w:t>
      </w:r>
      <w:r w:rsidR="00A01FA8" w:rsidRPr="000909AB">
        <w:rPr>
          <w:rFonts w:ascii="Times New Roman" w:hAnsi="Times New Roman" w:cs="Times New Roman"/>
          <w:sz w:val="24"/>
          <w:szCs w:val="24"/>
        </w:rPr>
        <w:t>e</w:t>
      </w:r>
      <w:r w:rsidR="00714499" w:rsidRPr="000909AB">
        <w:rPr>
          <w:rFonts w:ascii="Times New Roman" w:hAnsi="Times New Roman" w:cs="Times New Roman"/>
          <w:sz w:val="24"/>
          <w:szCs w:val="24"/>
        </w:rPr>
        <w:t>ruje. Z usług komuni</w:t>
      </w:r>
      <w:r w:rsidR="00E422B2" w:rsidRPr="000909AB">
        <w:rPr>
          <w:rFonts w:ascii="Times New Roman" w:hAnsi="Times New Roman" w:cs="Times New Roman"/>
          <w:sz w:val="24"/>
          <w:szCs w:val="24"/>
        </w:rPr>
        <w:t>ka</w:t>
      </w:r>
      <w:r w:rsidR="00714499" w:rsidRPr="000909AB">
        <w:rPr>
          <w:rFonts w:ascii="Times New Roman" w:hAnsi="Times New Roman" w:cs="Times New Roman"/>
          <w:sz w:val="24"/>
          <w:szCs w:val="24"/>
        </w:rPr>
        <w:t>cji publicznej w celu przemieszczenia się do pr</w:t>
      </w:r>
      <w:r w:rsidR="00E422B2" w:rsidRPr="000909AB">
        <w:rPr>
          <w:rFonts w:ascii="Times New Roman" w:hAnsi="Times New Roman" w:cs="Times New Roman"/>
          <w:sz w:val="24"/>
          <w:szCs w:val="24"/>
        </w:rPr>
        <w:t>a</w:t>
      </w:r>
      <w:r w:rsidR="00714499" w:rsidRPr="000909AB">
        <w:rPr>
          <w:rFonts w:ascii="Times New Roman" w:hAnsi="Times New Roman" w:cs="Times New Roman"/>
          <w:sz w:val="24"/>
          <w:szCs w:val="24"/>
        </w:rPr>
        <w:t xml:space="preserve">cy i </w:t>
      </w:r>
      <w:r w:rsidR="00E422B2" w:rsidRPr="000909AB">
        <w:rPr>
          <w:rFonts w:ascii="Times New Roman" w:hAnsi="Times New Roman" w:cs="Times New Roman"/>
          <w:sz w:val="24"/>
          <w:szCs w:val="24"/>
        </w:rPr>
        <w:t xml:space="preserve">z </w:t>
      </w:r>
      <w:r w:rsidR="00714499" w:rsidRPr="000909AB">
        <w:rPr>
          <w:rFonts w:ascii="Times New Roman" w:hAnsi="Times New Roman" w:cs="Times New Roman"/>
          <w:sz w:val="24"/>
          <w:szCs w:val="24"/>
        </w:rPr>
        <w:t>powrotem korzysta nieco ponad ¼ doje</w:t>
      </w:r>
      <w:r w:rsidR="00E422B2" w:rsidRPr="000909AB">
        <w:rPr>
          <w:rFonts w:ascii="Times New Roman" w:hAnsi="Times New Roman" w:cs="Times New Roman"/>
          <w:sz w:val="24"/>
          <w:szCs w:val="24"/>
        </w:rPr>
        <w:t>ż</w:t>
      </w:r>
      <w:r w:rsidR="00714499" w:rsidRPr="000909AB">
        <w:rPr>
          <w:rFonts w:ascii="Times New Roman" w:hAnsi="Times New Roman" w:cs="Times New Roman"/>
          <w:sz w:val="24"/>
          <w:szCs w:val="24"/>
        </w:rPr>
        <w:t>d</w:t>
      </w:r>
      <w:r w:rsidR="00E422B2" w:rsidRPr="000909AB">
        <w:rPr>
          <w:rFonts w:ascii="Times New Roman" w:hAnsi="Times New Roman" w:cs="Times New Roman"/>
          <w:sz w:val="24"/>
          <w:szCs w:val="24"/>
        </w:rPr>
        <w:t>ż</w:t>
      </w:r>
      <w:r w:rsidR="00714499" w:rsidRPr="000909AB">
        <w:rPr>
          <w:rFonts w:ascii="Times New Roman" w:hAnsi="Times New Roman" w:cs="Times New Roman"/>
          <w:sz w:val="24"/>
          <w:szCs w:val="24"/>
        </w:rPr>
        <w:t>aj</w:t>
      </w:r>
      <w:r w:rsidR="00E422B2" w:rsidRPr="000909AB">
        <w:rPr>
          <w:rFonts w:ascii="Times New Roman" w:hAnsi="Times New Roman" w:cs="Times New Roman"/>
          <w:sz w:val="24"/>
          <w:szCs w:val="24"/>
        </w:rPr>
        <w:t>ą</w:t>
      </w:r>
      <w:r w:rsidR="00714499" w:rsidRPr="000909AB">
        <w:rPr>
          <w:rFonts w:ascii="Times New Roman" w:hAnsi="Times New Roman" w:cs="Times New Roman"/>
          <w:sz w:val="24"/>
          <w:szCs w:val="24"/>
        </w:rPr>
        <w:t>cych</w:t>
      </w:r>
      <w:r w:rsidR="007F3A50" w:rsidRPr="000909AB">
        <w:rPr>
          <w:rFonts w:ascii="Times New Roman" w:hAnsi="Times New Roman" w:cs="Times New Roman"/>
          <w:sz w:val="24"/>
          <w:szCs w:val="24"/>
        </w:rPr>
        <w:t xml:space="preserve"> (przy </w:t>
      </w:r>
      <w:r w:rsidR="007F3A50" w:rsidRPr="000909AB">
        <w:rPr>
          <w:rFonts w:ascii="Times New Roman" w:hAnsi="Times New Roman" w:cs="Times New Roman"/>
          <w:sz w:val="24"/>
          <w:szCs w:val="24"/>
        </w:rPr>
        <w:lastRenderedPageBreak/>
        <w:t xml:space="preserve">czym </w:t>
      </w:r>
      <w:r w:rsidR="00714499" w:rsidRPr="000909AB">
        <w:rPr>
          <w:rFonts w:ascii="Times New Roman" w:hAnsi="Times New Roman" w:cs="Times New Roman"/>
          <w:sz w:val="24"/>
          <w:szCs w:val="24"/>
        </w:rPr>
        <w:t>w</w:t>
      </w:r>
      <w:r w:rsidR="002220DE" w:rsidRPr="000909AB">
        <w:rPr>
          <w:rFonts w:ascii="Times New Roman" w:hAnsi="Times New Roman" w:cs="Times New Roman"/>
          <w:sz w:val="24"/>
          <w:szCs w:val="24"/>
        </w:rPr>
        <w:t xml:space="preserve"> </w:t>
      </w:r>
      <w:r w:rsidR="00714499" w:rsidRPr="000909AB">
        <w:rPr>
          <w:rFonts w:ascii="Times New Roman" w:hAnsi="Times New Roman" w:cs="Times New Roman"/>
          <w:sz w:val="24"/>
          <w:szCs w:val="24"/>
        </w:rPr>
        <w:t>regiona</w:t>
      </w:r>
      <w:r w:rsidR="00E422B2" w:rsidRPr="000909AB">
        <w:rPr>
          <w:rFonts w:ascii="Times New Roman" w:hAnsi="Times New Roman" w:cs="Times New Roman"/>
          <w:sz w:val="24"/>
          <w:szCs w:val="24"/>
        </w:rPr>
        <w:t>c</w:t>
      </w:r>
      <w:r w:rsidR="009F1E75">
        <w:rPr>
          <w:rFonts w:ascii="Times New Roman" w:hAnsi="Times New Roman" w:cs="Times New Roman"/>
          <w:sz w:val="24"/>
          <w:szCs w:val="24"/>
        </w:rPr>
        <w:t>h o </w:t>
      </w:r>
      <w:r w:rsidR="00714499" w:rsidRPr="000909AB">
        <w:rPr>
          <w:rFonts w:ascii="Times New Roman" w:hAnsi="Times New Roman" w:cs="Times New Roman"/>
          <w:sz w:val="24"/>
          <w:szCs w:val="24"/>
        </w:rPr>
        <w:t>dobrze r</w:t>
      </w:r>
      <w:r w:rsidR="00E422B2" w:rsidRPr="000909AB">
        <w:rPr>
          <w:rFonts w:ascii="Times New Roman" w:hAnsi="Times New Roman" w:cs="Times New Roman"/>
          <w:sz w:val="24"/>
          <w:szCs w:val="24"/>
        </w:rPr>
        <w:t>oz</w:t>
      </w:r>
      <w:r w:rsidR="00714499" w:rsidRPr="000909AB">
        <w:rPr>
          <w:rFonts w:ascii="Times New Roman" w:hAnsi="Times New Roman" w:cs="Times New Roman"/>
          <w:sz w:val="24"/>
          <w:szCs w:val="24"/>
        </w:rPr>
        <w:t>wini</w:t>
      </w:r>
      <w:r w:rsidR="00E422B2" w:rsidRPr="000909AB">
        <w:rPr>
          <w:rFonts w:ascii="Times New Roman" w:hAnsi="Times New Roman" w:cs="Times New Roman"/>
          <w:sz w:val="24"/>
          <w:szCs w:val="24"/>
        </w:rPr>
        <w:t>ę</w:t>
      </w:r>
      <w:r w:rsidR="00714499" w:rsidRPr="000909AB">
        <w:rPr>
          <w:rFonts w:ascii="Times New Roman" w:hAnsi="Times New Roman" w:cs="Times New Roman"/>
          <w:sz w:val="24"/>
          <w:szCs w:val="24"/>
        </w:rPr>
        <w:t>tej sieci transporto</w:t>
      </w:r>
      <w:r w:rsidR="00E422B2" w:rsidRPr="000909AB">
        <w:rPr>
          <w:rFonts w:ascii="Times New Roman" w:hAnsi="Times New Roman" w:cs="Times New Roman"/>
          <w:sz w:val="24"/>
          <w:szCs w:val="24"/>
        </w:rPr>
        <w:t>w</w:t>
      </w:r>
      <w:r w:rsidR="007F3A50" w:rsidRPr="000909AB">
        <w:rPr>
          <w:rFonts w:ascii="Times New Roman" w:hAnsi="Times New Roman" w:cs="Times New Roman"/>
          <w:sz w:val="24"/>
          <w:szCs w:val="24"/>
        </w:rPr>
        <w:t xml:space="preserve">ej tego rodzaju – </w:t>
      </w:r>
      <w:r w:rsidR="00714499" w:rsidRPr="000909AB">
        <w:rPr>
          <w:rFonts w:ascii="Times New Roman" w:hAnsi="Times New Roman" w:cs="Times New Roman"/>
          <w:sz w:val="24"/>
          <w:szCs w:val="24"/>
        </w:rPr>
        <w:t xml:space="preserve">np. </w:t>
      </w:r>
      <w:r w:rsidR="00816A59">
        <w:rPr>
          <w:rFonts w:ascii="Times New Roman" w:hAnsi="Times New Roman" w:cs="Times New Roman"/>
          <w:sz w:val="24"/>
          <w:szCs w:val="24"/>
        </w:rPr>
        <w:t>w </w:t>
      </w:r>
      <w:r w:rsidR="00613060" w:rsidRPr="000909AB">
        <w:rPr>
          <w:rFonts w:ascii="Times New Roman" w:hAnsi="Times New Roman" w:cs="Times New Roman"/>
          <w:sz w:val="24"/>
          <w:szCs w:val="24"/>
        </w:rPr>
        <w:t>województwie mazowieckim</w:t>
      </w:r>
      <w:r w:rsidR="007F3A50" w:rsidRPr="000909AB">
        <w:rPr>
          <w:rFonts w:ascii="Times New Roman" w:hAnsi="Times New Roman" w:cs="Times New Roman"/>
          <w:sz w:val="24"/>
          <w:szCs w:val="24"/>
        </w:rPr>
        <w:t xml:space="preserve"> –</w:t>
      </w:r>
      <w:r w:rsidR="00714499" w:rsidRPr="000909AB">
        <w:rPr>
          <w:rFonts w:ascii="Times New Roman" w:hAnsi="Times New Roman" w:cs="Times New Roman"/>
          <w:sz w:val="24"/>
          <w:szCs w:val="24"/>
        </w:rPr>
        <w:t xml:space="preserve"> udz</w:t>
      </w:r>
      <w:r w:rsidR="00E422B2" w:rsidRPr="000909AB">
        <w:rPr>
          <w:rFonts w:ascii="Times New Roman" w:hAnsi="Times New Roman" w:cs="Times New Roman"/>
          <w:sz w:val="24"/>
          <w:szCs w:val="24"/>
        </w:rPr>
        <w:t>ia</w:t>
      </w:r>
      <w:r w:rsidR="00714499" w:rsidRPr="000909AB">
        <w:rPr>
          <w:rFonts w:ascii="Times New Roman" w:hAnsi="Times New Roman" w:cs="Times New Roman"/>
          <w:sz w:val="24"/>
          <w:szCs w:val="24"/>
        </w:rPr>
        <w:t>ł ten jest wyższy</w:t>
      </w:r>
      <w:r w:rsidR="007F3A50" w:rsidRPr="000909AB">
        <w:rPr>
          <w:rFonts w:ascii="Times New Roman" w:hAnsi="Times New Roman" w:cs="Times New Roman"/>
          <w:sz w:val="24"/>
          <w:szCs w:val="24"/>
        </w:rPr>
        <w:t>)</w:t>
      </w:r>
      <w:r w:rsidR="00714499" w:rsidRPr="000909AB">
        <w:rPr>
          <w:rFonts w:ascii="Times New Roman" w:hAnsi="Times New Roman" w:cs="Times New Roman"/>
          <w:sz w:val="24"/>
          <w:szCs w:val="24"/>
        </w:rPr>
        <w:t>. Kier</w:t>
      </w:r>
      <w:r w:rsidR="00E422B2" w:rsidRPr="000909AB">
        <w:rPr>
          <w:rFonts w:ascii="Times New Roman" w:hAnsi="Times New Roman" w:cs="Times New Roman"/>
          <w:sz w:val="24"/>
          <w:szCs w:val="24"/>
        </w:rPr>
        <w:t>owa</w:t>
      </w:r>
      <w:r w:rsidR="00714499" w:rsidRPr="000909AB">
        <w:rPr>
          <w:rFonts w:ascii="Times New Roman" w:hAnsi="Times New Roman" w:cs="Times New Roman"/>
          <w:sz w:val="24"/>
          <w:szCs w:val="24"/>
        </w:rPr>
        <w:t>nie s</w:t>
      </w:r>
      <w:r w:rsidR="00E422B2" w:rsidRPr="000909AB">
        <w:rPr>
          <w:rFonts w:ascii="Times New Roman" w:hAnsi="Times New Roman" w:cs="Times New Roman"/>
          <w:sz w:val="24"/>
          <w:szCs w:val="24"/>
        </w:rPr>
        <w:t>a</w:t>
      </w:r>
      <w:r w:rsidR="00714499" w:rsidRPr="000909AB">
        <w:rPr>
          <w:rFonts w:ascii="Times New Roman" w:hAnsi="Times New Roman" w:cs="Times New Roman"/>
          <w:sz w:val="24"/>
          <w:szCs w:val="24"/>
        </w:rPr>
        <w:t>mocho</w:t>
      </w:r>
      <w:r w:rsidR="00E422B2" w:rsidRPr="000909AB">
        <w:rPr>
          <w:rFonts w:ascii="Times New Roman" w:hAnsi="Times New Roman" w:cs="Times New Roman"/>
          <w:sz w:val="24"/>
          <w:szCs w:val="24"/>
        </w:rPr>
        <w:t>d</w:t>
      </w:r>
      <w:r w:rsidR="00714499" w:rsidRPr="000909AB">
        <w:rPr>
          <w:rFonts w:ascii="Times New Roman" w:hAnsi="Times New Roman" w:cs="Times New Roman"/>
          <w:sz w:val="24"/>
          <w:szCs w:val="24"/>
        </w:rPr>
        <w:t>em osob</w:t>
      </w:r>
      <w:r w:rsidR="00E422B2" w:rsidRPr="000909AB">
        <w:rPr>
          <w:rFonts w:ascii="Times New Roman" w:hAnsi="Times New Roman" w:cs="Times New Roman"/>
          <w:sz w:val="24"/>
          <w:szCs w:val="24"/>
        </w:rPr>
        <w:t>ow</w:t>
      </w:r>
      <w:r w:rsidR="00714499" w:rsidRPr="000909AB">
        <w:rPr>
          <w:rFonts w:ascii="Times New Roman" w:hAnsi="Times New Roman" w:cs="Times New Roman"/>
          <w:sz w:val="24"/>
          <w:szCs w:val="24"/>
        </w:rPr>
        <w:t>ym w tym kontek</w:t>
      </w:r>
      <w:r w:rsidR="00E422B2" w:rsidRPr="000909AB">
        <w:rPr>
          <w:rFonts w:ascii="Times New Roman" w:hAnsi="Times New Roman" w:cs="Times New Roman"/>
          <w:sz w:val="24"/>
          <w:szCs w:val="24"/>
        </w:rPr>
        <w:t>śc</w:t>
      </w:r>
      <w:r w:rsidR="00714499" w:rsidRPr="000909AB">
        <w:rPr>
          <w:rFonts w:ascii="Times New Roman" w:hAnsi="Times New Roman" w:cs="Times New Roman"/>
          <w:sz w:val="24"/>
          <w:szCs w:val="24"/>
        </w:rPr>
        <w:t>i</w:t>
      </w:r>
      <w:r w:rsidR="00E422B2" w:rsidRPr="000909AB">
        <w:rPr>
          <w:rFonts w:ascii="Times New Roman" w:hAnsi="Times New Roman" w:cs="Times New Roman"/>
          <w:sz w:val="24"/>
          <w:szCs w:val="24"/>
        </w:rPr>
        <w:t>e s</w:t>
      </w:r>
      <w:r w:rsidR="00714499" w:rsidRPr="000909AB">
        <w:rPr>
          <w:rFonts w:ascii="Times New Roman" w:hAnsi="Times New Roman" w:cs="Times New Roman"/>
          <w:sz w:val="24"/>
          <w:szCs w:val="24"/>
        </w:rPr>
        <w:t>taje się przy tym zdecydowaną domeną mężczyzn. Kobiety preferują r</w:t>
      </w:r>
      <w:r w:rsidR="00E422B2" w:rsidRPr="000909AB">
        <w:rPr>
          <w:rFonts w:ascii="Times New Roman" w:hAnsi="Times New Roman" w:cs="Times New Roman"/>
          <w:sz w:val="24"/>
          <w:szCs w:val="24"/>
        </w:rPr>
        <w:t>a</w:t>
      </w:r>
      <w:r w:rsidR="00714499" w:rsidRPr="000909AB">
        <w:rPr>
          <w:rFonts w:ascii="Times New Roman" w:hAnsi="Times New Roman" w:cs="Times New Roman"/>
          <w:sz w:val="24"/>
          <w:szCs w:val="24"/>
        </w:rPr>
        <w:t>czej przejazd samochodem osobowym w roli pasażera lub wybierają komun</w:t>
      </w:r>
      <w:r w:rsidR="00E422B2" w:rsidRPr="000909AB">
        <w:rPr>
          <w:rFonts w:ascii="Times New Roman" w:hAnsi="Times New Roman" w:cs="Times New Roman"/>
          <w:sz w:val="24"/>
          <w:szCs w:val="24"/>
        </w:rPr>
        <w:t>i</w:t>
      </w:r>
      <w:r w:rsidR="00714499" w:rsidRPr="000909AB">
        <w:rPr>
          <w:rFonts w:ascii="Times New Roman" w:hAnsi="Times New Roman" w:cs="Times New Roman"/>
          <w:sz w:val="24"/>
          <w:szCs w:val="24"/>
        </w:rPr>
        <w:t>kację publiczną. Mężczyźni częściej od k</w:t>
      </w:r>
      <w:r w:rsidR="00E422B2" w:rsidRPr="000909AB">
        <w:rPr>
          <w:rFonts w:ascii="Times New Roman" w:hAnsi="Times New Roman" w:cs="Times New Roman"/>
          <w:sz w:val="24"/>
          <w:szCs w:val="24"/>
        </w:rPr>
        <w:t>o</w:t>
      </w:r>
      <w:r w:rsidR="00714499" w:rsidRPr="000909AB">
        <w:rPr>
          <w:rFonts w:ascii="Times New Roman" w:hAnsi="Times New Roman" w:cs="Times New Roman"/>
          <w:sz w:val="24"/>
          <w:szCs w:val="24"/>
        </w:rPr>
        <w:t>bie</w:t>
      </w:r>
      <w:r w:rsidR="00E422B2" w:rsidRPr="000909AB">
        <w:rPr>
          <w:rFonts w:ascii="Times New Roman" w:hAnsi="Times New Roman" w:cs="Times New Roman"/>
          <w:sz w:val="24"/>
          <w:szCs w:val="24"/>
        </w:rPr>
        <w:t>t</w:t>
      </w:r>
      <w:r w:rsidR="00714499" w:rsidRPr="000909AB">
        <w:rPr>
          <w:rFonts w:ascii="Times New Roman" w:hAnsi="Times New Roman" w:cs="Times New Roman"/>
          <w:sz w:val="24"/>
          <w:szCs w:val="24"/>
        </w:rPr>
        <w:t xml:space="preserve"> s</w:t>
      </w:r>
      <w:r w:rsidR="00E422B2" w:rsidRPr="000909AB">
        <w:rPr>
          <w:rFonts w:ascii="Times New Roman" w:hAnsi="Times New Roman" w:cs="Times New Roman"/>
          <w:sz w:val="24"/>
          <w:szCs w:val="24"/>
        </w:rPr>
        <w:t>ą</w:t>
      </w:r>
      <w:r w:rsidR="00714499" w:rsidRPr="000909AB">
        <w:rPr>
          <w:rFonts w:ascii="Times New Roman" w:hAnsi="Times New Roman" w:cs="Times New Roman"/>
          <w:sz w:val="24"/>
          <w:szCs w:val="24"/>
        </w:rPr>
        <w:t xml:space="preserve"> natomiast </w:t>
      </w:r>
      <w:r w:rsidR="00E422B2" w:rsidRPr="000909AB">
        <w:rPr>
          <w:rFonts w:ascii="Times New Roman" w:hAnsi="Times New Roman" w:cs="Times New Roman"/>
          <w:sz w:val="24"/>
          <w:szCs w:val="24"/>
        </w:rPr>
        <w:t xml:space="preserve">podczas dojazdu do pracy </w:t>
      </w:r>
      <w:r w:rsidR="00714499" w:rsidRPr="000909AB">
        <w:rPr>
          <w:rFonts w:ascii="Times New Roman" w:hAnsi="Times New Roman" w:cs="Times New Roman"/>
          <w:sz w:val="24"/>
          <w:szCs w:val="24"/>
        </w:rPr>
        <w:t>pasażerami poc</w:t>
      </w:r>
      <w:r w:rsidR="00E422B2" w:rsidRPr="000909AB">
        <w:rPr>
          <w:rFonts w:ascii="Times New Roman" w:hAnsi="Times New Roman" w:cs="Times New Roman"/>
          <w:sz w:val="24"/>
          <w:szCs w:val="24"/>
        </w:rPr>
        <w:t>i</w:t>
      </w:r>
      <w:r w:rsidR="00714499" w:rsidRPr="000909AB">
        <w:rPr>
          <w:rFonts w:ascii="Times New Roman" w:hAnsi="Times New Roman" w:cs="Times New Roman"/>
          <w:sz w:val="24"/>
          <w:szCs w:val="24"/>
        </w:rPr>
        <w:t>ągów czy te</w:t>
      </w:r>
      <w:r w:rsidR="00F93158" w:rsidRPr="000909AB">
        <w:rPr>
          <w:rFonts w:ascii="Times New Roman" w:hAnsi="Times New Roman" w:cs="Times New Roman"/>
          <w:sz w:val="24"/>
          <w:szCs w:val="24"/>
        </w:rPr>
        <w:t>ż</w:t>
      </w:r>
      <w:r w:rsidR="00714499" w:rsidRPr="000909AB">
        <w:rPr>
          <w:rFonts w:ascii="Times New Roman" w:hAnsi="Times New Roman" w:cs="Times New Roman"/>
          <w:sz w:val="24"/>
          <w:szCs w:val="24"/>
        </w:rPr>
        <w:t xml:space="preserve"> użytkownikami innych </w:t>
      </w:r>
      <w:r w:rsidR="00E422B2" w:rsidRPr="000909AB">
        <w:rPr>
          <w:rFonts w:ascii="Times New Roman" w:hAnsi="Times New Roman" w:cs="Times New Roman"/>
          <w:sz w:val="24"/>
          <w:szCs w:val="24"/>
        </w:rPr>
        <w:t>środków</w:t>
      </w:r>
      <w:r w:rsidR="00714499" w:rsidRPr="000909AB">
        <w:rPr>
          <w:rFonts w:ascii="Times New Roman" w:hAnsi="Times New Roman" w:cs="Times New Roman"/>
          <w:sz w:val="24"/>
          <w:szCs w:val="24"/>
        </w:rPr>
        <w:t xml:space="preserve"> </w:t>
      </w:r>
      <w:r w:rsidR="00257555" w:rsidRPr="000909AB">
        <w:rPr>
          <w:rFonts w:ascii="Times New Roman" w:hAnsi="Times New Roman" w:cs="Times New Roman"/>
          <w:sz w:val="24"/>
          <w:szCs w:val="24"/>
        </w:rPr>
        <w:t>transportu</w:t>
      </w:r>
      <w:r w:rsidR="00714499" w:rsidRPr="000909AB">
        <w:rPr>
          <w:rFonts w:ascii="Times New Roman" w:hAnsi="Times New Roman" w:cs="Times New Roman"/>
          <w:sz w:val="24"/>
          <w:szCs w:val="24"/>
        </w:rPr>
        <w:t>.</w:t>
      </w:r>
    </w:p>
    <w:p w:rsidR="00101EC8" w:rsidRPr="000909AB" w:rsidRDefault="002F0AE1" w:rsidP="000909AB">
      <w:pPr>
        <w:pStyle w:val="tekstgl"/>
        <w:spacing w:after="0" w:line="360" w:lineRule="auto"/>
        <w:ind w:firstLine="709"/>
        <w:rPr>
          <w:rFonts w:ascii="Times New Roman" w:hAnsi="Times New Roman" w:cs="Times New Roman"/>
          <w:sz w:val="24"/>
          <w:szCs w:val="24"/>
        </w:rPr>
      </w:pPr>
      <w:r w:rsidRPr="000909AB">
        <w:rPr>
          <w:rFonts w:ascii="Times New Roman" w:hAnsi="Times New Roman" w:cs="Times New Roman"/>
          <w:sz w:val="24"/>
          <w:szCs w:val="24"/>
        </w:rPr>
        <w:t>Nies</w:t>
      </w:r>
      <w:r w:rsidR="00E422B2" w:rsidRPr="000909AB">
        <w:rPr>
          <w:rFonts w:ascii="Times New Roman" w:hAnsi="Times New Roman" w:cs="Times New Roman"/>
          <w:sz w:val="24"/>
          <w:szCs w:val="24"/>
        </w:rPr>
        <w:t>p</w:t>
      </w:r>
      <w:r w:rsidRPr="000909AB">
        <w:rPr>
          <w:rFonts w:ascii="Times New Roman" w:hAnsi="Times New Roman" w:cs="Times New Roman"/>
          <w:sz w:val="24"/>
          <w:szCs w:val="24"/>
        </w:rPr>
        <w:t>ełna 82%</w:t>
      </w:r>
      <w:r w:rsidR="00E033FC" w:rsidRPr="000909AB">
        <w:rPr>
          <w:rFonts w:ascii="Times New Roman" w:hAnsi="Times New Roman" w:cs="Times New Roman"/>
          <w:sz w:val="24"/>
          <w:szCs w:val="24"/>
        </w:rPr>
        <w:t xml:space="preserve"> doj</w:t>
      </w:r>
      <w:r w:rsidR="00E422B2" w:rsidRPr="000909AB">
        <w:rPr>
          <w:rFonts w:ascii="Times New Roman" w:hAnsi="Times New Roman" w:cs="Times New Roman"/>
          <w:sz w:val="24"/>
          <w:szCs w:val="24"/>
        </w:rPr>
        <w:t>e</w:t>
      </w:r>
      <w:r w:rsidR="00E033FC" w:rsidRPr="000909AB">
        <w:rPr>
          <w:rFonts w:ascii="Times New Roman" w:hAnsi="Times New Roman" w:cs="Times New Roman"/>
          <w:sz w:val="24"/>
          <w:szCs w:val="24"/>
        </w:rPr>
        <w:t>żd</w:t>
      </w:r>
      <w:r w:rsidR="00E422B2" w:rsidRPr="000909AB">
        <w:rPr>
          <w:rFonts w:ascii="Times New Roman" w:hAnsi="Times New Roman" w:cs="Times New Roman"/>
          <w:sz w:val="24"/>
          <w:szCs w:val="24"/>
        </w:rPr>
        <w:t>ża</w:t>
      </w:r>
      <w:r w:rsidR="00E033FC" w:rsidRPr="000909AB">
        <w:rPr>
          <w:rFonts w:ascii="Times New Roman" w:hAnsi="Times New Roman" w:cs="Times New Roman"/>
          <w:sz w:val="24"/>
          <w:szCs w:val="24"/>
        </w:rPr>
        <w:t>j</w:t>
      </w:r>
      <w:r w:rsidR="00E422B2" w:rsidRPr="000909AB">
        <w:rPr>
          <w:rFonts w:ascii="Times New Roman" w:hAnsi="Times New Roman" w:cs="Times New Roman"/>
          <w:sz w:val="24"/>
          <w:szCs w:val="24"/>
        </w:rPr>
        <w:t>ą</w:t>
      </w:r>
      <w:r w:rsidR="00E033FC" w:rsidRPr="000909AB">
        <w:rPr>
          <w:rFonts w:ascii="Times New Roman" w:hAnsi="Times New Roman" w:cs="Times New Roman"/>
          <w:sz w:val="24"/>
          <w:szCs w:val="24"/>
        </w:rPr>
        <w:t xml:space="preserve">cych do </w:t>
      </w:r>
      <w:r w:rsidR="00E422B2" w:rsidRPr="000909AB">
        <w:rPr>
          <w:rFonts w:ascii="Times New Roman" w:hAnsi="Times New Roman" w:cs="Times New Roman"/>
          <w:sz w:val="24"/>
          <w:szCs w:val="24"/>
        </w:rPr>
        <w:t>p</w:t>
      </w:r>
      <w:r w:rsidR="00E033FC" w:rsidRPr="000909AB">
        <w:rPr>
          <w:rFonts w:ascii="Times New Roman" w:hAnsi="Times New Roman" w:cs="Times New Roman"/>
          <w:sz w:val="24"/>
          <w:szCs w:val="24"/>
        </w:rPr>
        <w:t>r</w:t>
      </w:r>
      <w:r w:rsidR="00E422B2" w:rsidRPr="000909AB">
        <w:rPr>
          <w:rFonts w:ascii="Times New Roman" w:hAnsi="Times New Roman" w:cs="Times New Roman"/>
          <w:sz w:val="24"/>
          <w:szCs w:val="24"/>
        </w:rPr>
        <w:t>a</w:t>
      </w:r>
      <w:r w:rsidR="00E033FC" w:rsidRPr="000909AB">
        <w:rPr>
          <w:rFonts w:ascii="Times New Roman" w:hAnsi="Times New Roman" w:cs="Times New Roman"/>
          <w:sz w:val="24"/>
          <w:szCs w:val="24"/>
        </w:rPr>
        <w:t xml:space="preserve">cy czyni to codziennie, a niemal 16% </w:t>
      </w:r>
      <w:r w:rsidR="00E422B2" w:rsidRPr="000909AB">
        <w:rPr>
          <w:rFonts w:ascii="Times New Roman" w:hAnsi="Times New Roman" w:cs="Times New Roman"/>
          <w:sz w:val="24"/>
          <w:szCs w:val="24"/>
        </w:rPr>
        <w:t>–</w:t>
      </w:r>
      <w:r w:rsidR="00E033FC" w:rsidRPr="000909AB">
        <w:rPr>
          <w:rFonts w:ascii="Times New Roman" w:hAnsi="Times New Roman" w:cs="Times New Roman"/>
          <w:sz w:val="24"/>
          <w:szCs w:val="24"/>
        </w:rPr>
        <w:t xml:space="preserve"> kilka razy w tyg</w:t>
      </w:r>
      <w:r w:rsidR="00E422B2" w:rsidRPr="000909AB">
        <w:rPr>
          <w:rFonts w:ascii="Times New Roman" w:hAnsi="Times New Roman" w:cs="Times New Roman"/>
          <w:sz w:val="24"/>
          <w:szCs w:val="24"/>
        </w:rPr>
        <w:t>odni</w:t>
      </w:r>
      <w:r w:rsidR="00E033FC" w:rsidRPr="000909AB">
        <w:rPr>
          <w:rFonts w:ascii="Times New Roman" w:hAnsi="Times New Roman" w:cs="Times New Roman"/>
          <w:sz w:val="24"/>
          <w:szCs w:val="24"/>
        </w:rPr>
        <w:t>u ale nie cod</w:t>
      </w:r>
      <w:r w:rsidR="00E422B2" w:rsidRPr="000909AB">
        <w:rPr>
          <w:rFonts w:ascii="Times New Roman" w:hAnsi="Times New Roman" w:cs="Times New Roman"/>
          <w:sz w:val="24"/>
          <w:szCs w:val="24"/>
        </w:rPr>
        <w:t>z</w:t>
      </w:r>
      <w:r w:rsidR="00E033FC" w:rsidRPr="000909AB">
        <w:rPr>
          <w:rFonts w:ascii="Times New Roman" w:hAnsi="Times New Roman" w:cs="Times New Roman"/>
          <w:sz w:val="24"/>
          <w:szCs w:val="24"/>
        </w:rPr>
        <w:t xml:space="preserve">iennie. Im krótszy jest czas dojazdu tym </w:t>
      </w:r>
      <w:r w:rsidR="00E422B2" w:rsidRPr="000909AB">
        <w:rPr>
          <w:rFonts w:ascii="Times New Roman" w:hAnsi="Times New Roman" w:cs="Times New Roman"/>
          <w:sz w:val="24"/>
          <w:szCs w:val="24"/>
        </w:rPr>
        <w:t>wię</w:t>
      </w:r>
      <w:r w:rsidR="00E033FC" w:rsidRPr="000909AB">
        <w:rPr>
          <w:rFonts w:ascii="Times New Roman" w:hAnsi="Times New Roman" w:cs="Times New Roman"/>
          <w:sz w:val="24"/>
          <w:szCs w:val="24"/>
        </w:rPr>
        <w:t>k</w:t>
      </w:r>
      <w:r w:rsidR="00E422B2" w:rsidRPr="000909AB">
        <w:rPr>
          <w:rFonts w:ascii="Times New Roman" w:hAnsi="Times New Roman" w:cs="Times New Roman"/>
          <w:sz w:val="24"/>
          <w:szCs w:val="24"/>
        </w:rPr>
        <w:t>sz</w:t>
      </w:r>
      <w:r w:rsidR="00E033FC" w:rsidRPr="000909AB">
        <w:rPr>
          <w:rFonts w:ascii="Times New Roman" w:hAnsi="Times New Roman" w:cs="Times New Roman"/>
          <w:sz w:val="24"/>
          <w:szCs w:val="24"/>
        </w:rPr>
        <w:t>a jego c</w:t>
      </w:r>
      <w:r w:rsidR="00E422B2" w:rsidRPr="000909AB">
        <w:rPr>
          <w:rFonts w:ascii="Times New Roman" w:hAnsi="Times New Roman" w:cs="Times New Roman"/>
          <w:sz w:val="24"/>
          <w:szCs w:val="24"/>
        </w:rPr>
        <w:t>zę</w:t>
      </w:r>
      <w:r w:rsidR="00E033FC" w:rsidRPr="000909AB">
        <w:rPr>
          <w:rFonts w:ascii="Times New Roman" w:hAnsi="Times New Roman" w:cs="Times New Roman"/>
          <w:sz w:val="24"/>
          <w:szCs w:val="24"/>
        </w:rPr>
        <w:t>sto</w:t>
      </w:r>
      <w:r w:rsidR="00E422B2" w:rsidRPr="000909AB">
        <w:rPr>
          <w:rFonts w:ascii="Times New Roman" w:hAnsi="Times New Roman" w:cs="Times New Roman"/>
          <w:sz w:val="24"/>
          <w:szCs w:val="24"/>
        </w:rPr>
        <w:t>t</w:t>
      </w:r>
      <w:r w:rsidR="00E033FC" w:rsidRPr="000909AB">
        <w:rPr>
          <w:rFonts w:ascii="Times New Roman" w:hAnsi="Times New Roman" w:cs="Times New Roman"/>
          <w:sz w:val="24"/>
          <w:szCs w:val="24"/>
        </w:rPr>
        <w:t>li</w:t>
      </w:r>
      <w:r w:rsidR="00E422B2" w:rsidRPr="000909AB">
        <w:rPr>
          <w:rFonts w:ascii="Times New Roman" w:hAnsi="Times New Roman" w:cs="Times New Roman"/>
          <w:sz w:val="24"/>
          <w:szCs w:val="24"/>
        </w:rPr>
        <w:t>w</w:t>
      </w:r>
      <w:r w:rsidR="00E033FC" w:rsidRPr="000909AB">
        <w:rPr>
          <w:rFonts w:ascii="Times New Roman" w:hAnsi="Times New Roman" w:cs="Times New Roman"/>
          <w:sz w:val="24"/>
          <w:szCs w:val="24"/>
        </w:rPr>
        <w:t>oś</w:t>
      </w:r>
      <w:r w:rsidR="00E422B2" w:rsidRPr="000909AB">
        <w:rPr>
          <w:rFonts w:ascii="Times New Roman" w:hAnsi="Times New Roman" w:cs="Times New Roman"/>
          <w:sz w:val="24"/>
          <w:szCs w:val="24"/>
        </w:rPr>
        <w:t>ć</w:t>
      </w:r>
      <w:r w:rsidR="00E033FC" w:rsidRPr="000909AB">
        <w:rPr>
          <w:rFonts w:ascii="Times New Roman" w:hAnsi="Times New Roman" w:cs="Times New Roman"/>
          <w:sz w:val="24"/>
          <w:szCs w:val="24"/>
        </w:rPr>
        <w:t>. Pod</w:t>
      </w:r>
      <w:r w:rsidR="00E422B2" w:rsidRPr="000909AB">
        <w:rPr>
          <w:rFonts w:ascii="Times New Roman" w:hAnsi="Times New Roman" w:cs="Times New Roman"/>
          <w:sz w:val="24"/>
          <w:szCs w:val="24"/>
        </w:rPr>
        <w:t>o</w:t>
      </w:r>
      <w:r w:rsidR="00E033FC" w:rsidRPr="000909AB">
        <w:rPr>
          <w:rFonts w:ascii="Times New Roman" w:hAnsi="Times New Roman" w:cs="Times New Roman"/>
          <w:sz w:val="24"/>
          <w:szCs w:val="24"/>
        </w:rPr>
        <w:t xml:space="preserve">bnie – co nie powinno dziwić (choć oczywiście </w:t>
      </w:r>
      <w:r w:rsidR="00E422B2" w:rsidRPr="000909AB">
        <w:rPr>
          <w:rFonts w:ascii="Times New Roman" w:hAnsi="Times New Roman" w:cs="Times New Roman"/>
          <w:sz w:val="24"/>
          <w:szCs w:val="24"/>
        </w:rPr>
        <w:t>l</w:t>
      </w:r>
      <w:r w:rsidR="00E033FC" w:rsidRPr="000909AB">
        <w:rPr>
          <w:rFonts w:ascii="Times New Roman" w:hAnsi="Times New Roman" w:cs="Times New Roman"/>
          <w:sz w:val="24"/>
          <w:szCs w:val="24"/>
        </w:rPr>
        <w:t>o</w:t>
      </w:r>
      <w:r w:rsidR="00E422B2" w:rsidRPr="000909AB">
        <w:rPr>
          <w:rFonts w:ascii="Times New Roman" w:hAnsi="Times New Roman" w:cs="Times New Roman"/>
          <w:sz w:val="24"/>
          <w:szCs w:val="24"/>
        </w:rPr>
        <w:t>kal</w:t>
      </w:r>
      <w:r w:rsidR="00E033FC" w:rsidRPr="000909AB">
        <w:rPr>
          <w:rFonts w:ascii="Times New Roman" w:hAnsi="Times New Roman" w:cs="Times New Roman"/>
          <w:sz w:val="24"/>
          <w:szCs w:val="24"/>
        </w:rPr>
        <w:t xml:space="preserve">ne </w:t>
      </w:r>
      <w:r w:rsidR="00E422B2" w:rsidRPr="000909AB">
        <w:rPr>
          <w:rFonts w:ascii="Times New Roman" w:hAnsi="Times New Roman" w:cs="Times New Roman"/>
          <w:sz w:val="24"/>
          <w:szCs w:val="24"/>
        </w:rPr>
        <w:t>u</w:t>
      </w:r>
      <w:r w:rsidR="00E033FC" w:rsidRPr="000909AB">
        <w:rPr>
          <w:rFonts w:ascii="Times New Roman" w:hAnsi="Times New Roman" w:cs="Times New Roman"/>
          <w:sz w:val="24"/>
          <w:szCs w:val="24"/>
        </w:rPr>
        <w:t>w</w:t>
      </w:r>
      <w:r w:rsidR="00E422B2" w:rsidRPr="000909AB">
        <w:rPr>
          <w:rFonts w:ascii="Times New Roman" w:hAnsi="Times New Roman" w:cs="Times New Roman"/>
          <w:sz w:val="24"/>
          <w:szCs w:val="24"/>
        </w:rPr>
        <w:t>a</w:t>
      </w:r>
      <w:r w:rsidR="00E033FC" w:rsidRPr="000909AB">
        <w:rPr>
          <w:rFonts w:ascii="Times New Roman" w:hAnsi="Times New Roman" w:cs="Times New Roman"/>
          <w:sz w:val="24"/>
          <w:szCs w:val="24"/>
        </w:rPr>
        <w:t>r</w:t>
      </w:r>
      <w:r w:rsidR="00E422B2" w:rsidRPr="000909AB">
        <w:rPr>
          <w:rFonts w:ascii="Times New Roman" w:hAnsi="Times New Roman" w:cs="Times New Roman"/>
          <w:sz w:val="24"/>
          <w:szCs w:val="24"/>
        </w:rPr>
        <w:t>u</w:t>
      </w:r>
      <w:r w:rsidR="00E033FC" w:rsidRPr="000909AB">
        <w:rPr>
          <w:rFonts w:ascii="Times New Roman" w:hAnsi="Times New Roman" w:cs="Times New Roman"/>
          <w:sz w:val="24"/>
          <w:szCs w:val="24"/>
        </w:rPr>
        <w:t>n</w:t>
      </w:r>
      <w:r w:rsidR="00E422B2" w:rsidRPr="000909AB">
        <w:rPr>
          <w:rFonts w:ascii="Times New Roman" w:hAnsi="Times New Roman" w:cs="Times New Roman"/>
          <w:sz w:val="24"/>
          <w:szCs w:val="24"/>
        </w:rPr>
        <w:t>kowania</w:t>
      </w:r>
      <w:r w:rsidR="00E033FC" w:rsidRPr="000909AB">
        <w:rPr>
          <w:rFonts w:ascii="Times New Roman" w:hAnsi="Times New Roman" w:cs="Times New Roman"/>
          <w:sz w:val="24"/>
          <w:szCs w:val="24"/>
        </w:rPr>
        <w:t xml:space="preserve"> infra</w:t>
      </w:r>
      <w:r w:rsidR="00E422B2" w:rsidRPr="000909AB">
        <w:rPr>
          <w:rFonts w:ascii="Times New Roman" w:hAnsi="Times New Roman" w:cs="Times New Roman"/>
          <w:sz w:val="24"/>
          <w:szCs w:val="24"/>
        </w:rPr>
        <w:t>s</w:t>
      </w:r>
      <w:r w:rsidR="00E033FC" w:rsidRPr="000909AB">
        <w:rPr>
          <w:rFonts w:ascii="Times New Roman" w:hAnsi="Times New Roman" w:cs="Times New Roman"/>
          <w:sz w:val="24"/>
          <w:szCs w:val="24"/>
        </w:rPr>
        <w:t>truktur</w:t>
      </w:r>
      <w:r w:rsidR="00E422B2" w:rsidRPr="000909AB">
        <w:rPr>
          <w:rFonts w:ascii="Times New Roman" w:hAnsi="Times New Roman" w:cs="Times New Roman"/>
          <w:sz w:val="24"/>
          <w:szCs w:val="24"/>
        </w:rPr>
        <w:t>a</w:t>
      </w:r>
      <w:r w:rsidR="00E033FC" w:rsidRPr="000909AB">
        <w:rPr>
          <w:rFonts w:ascii="Times New Roman" w:hAnsi="Times New Roman" w:cs="Times New Roman"/>
          <w:sz w:val="24"/>
          <w:szCs w:val="24"/>
        </w:rPr>
        <w:t>l</w:t>
      </w:r>
      <w:r w:rsidR="00E422B2" w:rsidRPr="000909AB">
        <w:rPr>
          <w:rFonts w:ascii="Times New Roman" w:hAnsi="Times New Roman" w:cs="Times New Roman"/>
          <w:sz w:val="24"/>
          <w:szCs w:val="24"/>
        </w:rPr>
        <w:t>n</w:t>
      </w:r>
      <w:r w:rsidR="00E033FC" w:rsidRPr="000909AB">
        <w:rPr>
          <w:rFonts w:ascii="Times New Roman" w:hAnsi="Times New Roman" w:cs="Times New Roman"/>
          <w:sz w:val="24"/>
          <w:szCs w:val="24"/>
        </w:rPr>
        <w:t>e bądź at</w:t>
      </w:r>
      <w:r w:rsidR="00E422B2" w:rsidRPr="000909AB">
        <w:rPr>
          <w:rFonts w:ascii="Times New Roman" w:hAnsi="Times New Roman" w:cs="Times New Roman"/>
          <w:sz w:val="24"/>
          <w:szCs w:val="24"/>
        </w:rPr>
        <w:t>m</w:t>
      </w:r>
      <w:r w:rsidR="00E033FC" w:rsidRPr="000909AB">
        <w:rPr>
          <w:rFonts w:ascii="Times New Roman" w:hAnsi="Times New Roman" w:cs="Times New Roman"/>
          <w:sz w:val="24"/>
          <w:szCs w:val="24"/>
        </w:rPr>
        <w:t>o</w:t>
      </w:r>
      <w:r w:rsidR="00E422B2" w:rsidRPr="000909AB">
        <w:rPr>
          <w:rFonts w:ascii="Times New Roman" w:hAnsi="Times New Roman" w:cs="Times New Roman"/>
          <w:sz w:val="24"/>
          <w:szCs w:val="24"/>
        </w:rPr>
        <w:t>s</w:t>
      </w:r>
      <w:r w:rsidR="00E033FC" w:rsidRPr="000909AB">
        <w:rPr>
          <w:rFonts w:ascii="Times New Roman" w:hAnsi="Times New Roman" w:cs="Times New Roman"/>
          <w:sz w:val="24"/>
          <w:szCs w:val="24"/>
        </w:rPr>
        <w:t>feryczne czy dział</w:t>
      </w:r>
      <w:r w:rsidR="00E422B2" w:rsidRPr="000909AB">
        <w:rPr>
          <w:rFonts w:ascii="Times New Roman" w:hAnsi="Times New Roman" w:cs="Times New Roman"/>
          <w:sz w:val="24"/>
          <w:szCs w:val="24"/>
        </w:rPr>
        <w:t xml:space="preserve">anie </w:t>
      </w:r>
      <w:r w:rsidR="00E033FC" w:rsidRPr="000909AB">
        <w:rPr>
          <w:rFonts w:ascii="Times New Roman" w:hAnsi="Times New Roman" w:cs="Times New Roman"/>
          <w:sz w:val="24"/>
          <w:szCs w:val="24"/>
        </w:rPr>
        <w:t>inneg</w:t>
      </w:r>
      <w:r w:rsidR="00E422B2" w:rsidRPr="000909AB">
        <w:rPr>
          <w:rFonts w:ascii="Times New Roman" w:hAnsi="Times New Roman" w:cs="Times New Roman"/>
          <w:sz w:val="24"/>
          <w:szCs w:val="24"/>
        </w:rPr>
        <w:t>o</w:t>
      </w:r>
      <w:r w:rsidR="00E033FC" w:rsidRPr="000909AB">
        <w:rPr>
          <w:rFonts w:ascii="Times New Roman" w:hAnsi="Times New Roman" w:cs="Times New Roman"/>
          <w:sz w:val="24"/>
          <w:szCs w:val="24"/>
        </w:rPr>
        <w:t xml:space="preserve"> rodzaju </w:t>
      </w:r>
      <w:r w:rsidR="00E422B2" w:rsidRPr="000909AB">
        <w:rPr>
          <w:rFonts w:ascii="Times New Roman" w:hAnsi="Times New Roman" w:cs="Times New Roman"/>
          <w:sz w:val="24"/>
          <w:szCs w:val="24"/>
        </w:rPr>
        <w:t>si</w:t>
      </w:r>
      <w:r w:rsidR="00E033FC" w:rsidRPr="000909AB">
        <w:rPr>
          <w:rFonts w:ascii="Times New Roman" w:hAnsi="Times New Roman" w:cs="Times New Roman"/>
          <w:sz w:val="24"/>
          <w:szCs w:val="24"/>
        </w:rPr>
        <w:t>ły wyższej czasami mogą stan</w:t>
      </w:r>
      <w:r w:rsidR="00F40F6E" w:rsidRPr="000909AB">
        <w:rPr>
          <w:rFonts w:ascii="Times New Roman" w:hAnsi="Times New Roman" w:cs="Times New Roman"/>
          <w:sz w:val="24"/>
          <w:szCs w:val="24"/>
        </w:rPr>
        <w:t>ow</w:t>
      </w:r>
      <w:r w:rsidR="00E033FC" w:rsidRPr="000909AB">
        <w:rPr>
          <w:rFonts w:ascii="Times New Roman" w:hAnsi="Times New Roman" w:cs="Times New Roman"/>
          <w:sz w:val="24"/>
          <w:szCs w:val="24"/>
        </w:rPr>
        <w:t>ić inaczej) – mniejsza odległoś</w:t>
      </w:r>
      <w:r w:rsidR="00E422B2" w:rsidRPr="000909AB">
        <w:rPr>
          <w:rFonts w:ascii="Times New Roman" w:hAnsi="Times New Roman" w:cs="Times New Roman"/>
          <w:sz w:val="24"/>
          <w:szCs w:val="24"/>
        </w:rPr>
        <w:t>ć</w:t>
      </w:r>
      <w:r w:rsidR="00E033FC" w:rsidRPr="000909AB">
        <w:rPr>
          <w:rFonts w:ascii="Times New Roman" w:hAnsi="Times New Roman" w:cs="Times New Roman"/>
          <w:sz w:val="24"/>
          <w:szCs w:val="24"/>
        </w:rPr>
        <w:t xml:space="preserve"> </w:t>
      </w:r>
      <w:r w:rsidR="00ED18D1" w:rsidRPr="000909AB">
        <w:rPr>
          <w:rFonts w:ascii="Times New Roman" w:hAnsi="Times New Roman" w:cs="Times New Roman"/>
          <w:sz w:val="24"/>
          <w:szCs w:val="24"/>
        </w:rPr>
        <w:t xml:space="preserve">skutkuje </w:t>
      </w:r>
      <w:r w:rsidR="00E033FC" w:rsidRPr="000909AB">
        <w:rPr>
          <w:rFonts w:ascii="Times New Roman" w:hAnsi="Times New Roman" w:cs="Times New Roman"/>
          <w:sz w:val="24"/>
          <w:szCs w:val="24"/>
        </w:rPr>
        <w:t>krótszy</w:t>
      </w:r>
      <w:r w:rsidR="00ED18D1" w:rsidRPr="000909AB">
        <w:rPr>
          <w:rFonts w:ascii="Times New Roman" w:hAnsi="Times New Roman" w:cs="Times New Roman"/>
          <w:sz w:val="24"/>
          <w:szCs w:val="24"/>
        </w:rPr>
        <w:t>m</w:t>
      </w:r>
      <w:r w:rsidR="00E033FC" w:rsidRPr="000909AB">
        <w:rPr>
          <w:rFonts w:ascii="Times New Roman" w:hAnsi="Times New Roman" w:cs="Times New Roman"/>
          <w:sz w:val="24"/>
          <w:szCs w:val="24"/>
        </w:rPr>
        <w:t xml:space="preserve"> czas</w:t>
      </w:r>
      <w:r w:rsidR="00ED18D1" w:rsidRPr="000909AB">
        <w:rPr>
          <w:rFonts w:ascii="Times New Roman" w:hAnsi="Times New Roman" w:cs="Times New Roman"/>
          <w:sz w:val="24"/>
          <w:szCs w:val="24"/>
        </w:rPr>
        <w:t>em</w:t>
      </w:r>
      <w:r w:rsidR="00E033FC" w:rsidRPr="000909AB">
        <w:rPr>
          <w:rFonts w:ascii="Times New Roman" w:hAnsi="Times New Roman" w:cs="Times New Roman"/>
          <w:sz w:val="24"/>
          <w:szCs w:val="24"/>
        </w:rPr>
        <w:t xml:space="preserve"> dojaz</w:t>
      </w:r>
      <w:r w:rsidR="00E422B2" w:rsidRPr="000909AB">
        <w:rPr>
          <w:rFonts w:ascii="Times New Roman" w:hAnsi="Times New Roman" w:cs="Times New Roman"/>
          <w:sz w:val="24"/>
          <w:szCs w:val="24"/>
        </w:rPr>
        <w:t>du do pracy</w:t>
      </w:r>
      <w:r w:rsidR="00E033FC" w:rsidRPr="000909AB">
        <w:rPr>
          <w:rFonts w:ascii="Times New Roman" w:hAnsi="Times New Roman" w:cs="Times New Roman"/>
          <w:sz w:val="24"/>
          <w:szCs w:val="24"/>
        </w:rPr>
        <w:t xml:space="preserve">. </w:t>
      </w:r>
    </w:p>
    <w:sectPr w:rsidR="00101EC8" w:rsidRPr="000909AB" w:rsidSect="0015006C">
      <w:footerReference w:type="even" r:id="rId20"/>
      <w:footerReference w:type="default" r:id="rId21"/>
      <w:pgSz w:w="11906" w:h="16838"/>
      <w:pgMar w:top="1418" w:right="1418" w:bottom="1418" w:left="1418" w:header="709" w:footer="709" w:gutter="0"/>
      <w:pgNumType w:start="13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05C3" w:rsidRDefault="00FB05C3" w:rsidP="00E7509A">
      <w:pPr>
        <w:spacing w:after="0" w:line="240" w:lineRule="auto"/>
      </w:pPr>
      <w:r>
        <w:separator/>
      </w:r>
    </w:p>
  </w:endnote>
  <w:endnote w:type="continuationSeparator" w:id="0">
    <w:p w:rsidR="00FB05C3" w:rsidRDefault="00FB05C3" w:rsidP="00E750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0"/>
        <w:szCs w:val="20"/>
      </w:rPr>
      <w:id w:val="12516365"/>
      <w:docPartObj>
        <w:docPartGallery w:val="Page Numbers (Bottom of Page)"/>
        <w:docPartUnique/>
      </w:docPartObj>
    </w:sdtPr>
    <w:sdtContent>
      <w:p w:rsidR="0015006C" w:rsidRPr="00E16A4A" w:rsidRDefault="001409E4">
        <w:pPr>
          <w:pStyle w:val="Stopka"/>
          <w:rPr>
            <w:rFonts w:ascii="Times New Roman" w:hAnsi="Times New Roman" w:cs="Times New Roman"/>
            <w:sz w:val="20"/>
            <w:szCs w:val="20"/>
          </w:rPr>
        </w:pPr>
        <w:r w:rsidRPr="00E16A4A">
          <w:rPr>
            <w:rFonts w:ascii="Times New Roman" w:hAnsi="Times New Roman" w:cs="Times New Roman"/>
            <w:sz w:val="20"/>
            <w:szCs w:val="20"/>
          </w:rPr>
          <w:fldChar w:fldCharType="begin"/>
        </w:r>
        <w:r w:rsidR="00A0336A" w:rsidRPr="00E16A4A">
          <w:rPr>
            <w:rFonts w:ascii="Times New Roman" w:hAnsi="Times New Roman" w:cs="Times New Roman"/>
            <w:sz w:val="20"/>
            <w:szCs w:val="20"/>
          </w:rPr>
          <w:instrText xml:space="preserve"> PAGE   \* MERGEFORMAT </w:instrText>
        </w:r>
        <w:r w:rsidRPr="00E16A4A">
          <w:rPr>
            <w:rFonts w:ascii="Times New Roman" w:hAnsi="Times New Roman" w:cs="Times New Roman"/>
            <w:sz w:val="20"/>
            <w:szCs w:val="20"/>
          </w:rPr>
          <w:fldChar w:fldCharType="separate"/>
        </w:r>
        <w:r w:rsidR="0078237B">
          <w:rPr>
            <w:rFonts w:ascii="Times New Roman" w:hAnsi="Times New Roman" w:cs="Times New Roman"/>
            <w:noProof/>
            <w:sz w:val="20"/>
            <w:szCs w:val="20"/>
          </w:rPr>
          <w:t>150</w:t>
        </w:r>
        <w:r w:rsidRPr="00E16A4A">
          <w:rPr>
            <w:rFonts w:ascii="Times New Roman" w:hAnsi="Times New Roman" w:cs="Times New Roman"/>
            <w:sz w:val="20"/>
            <w:szCs w:val="20"/>
          </w:rPr>
          <w:fldChar w:fldCharType="end"/>
        </w:r>
      </w:p>
    </w:sdtContent>
  </w:sdt>
  <w:p w:rsidR="0015006C" w:rsidRDefault="0015006C">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0"/>
        <w:szCs w:val="20"/>
      </w:rPr>
      <w:id w:val="12516363"/>
      <w:docPartObj>
        <w:docPartGallery w:val="Page Numbers (Bottom of Page)"/>
        <w:docPartUnique/>
      </w:docPartObj>
    </w:sdtPr>
    <w:sdtContent>
      <w:p w:rsidR="0015006C" w:rsidRPr="00E16A4A" w:rsidRDefault="001409E4">
        <w:pPr>
          <w:pStyle w:val="Stopka"/>
          <w:jc w:val="right"/>
          <w:rPr>
            <w:rFonts w:ascii="Times New Roman" w:hAnsi="Times New Roman" w:cs="Times New Roman"/>
            <w:sz w:val="20"/>
            <w:szCs w:val="20"/>
          </w:rPr>
        </w:pPr>
        <w:r w:rsidRPr="00E16A4A">
          <w:rPr>
            <w:rFonts w:ascii="Times New Roman" w:hAnsi="Times New Roman" w:cs="Times New Roman"/>
            <w:sz w:val="20"/>
            <w:szCs w:val="20"/>
          </w:rPr>
          <w:fldChar w:fldCharType="begin"/>
        </w:r>
        <w:r w:rsidR="00A0336A" w:rsidRPr="00E16A4A">
          <w:rPr>
            <w:rFonts w:ascii="Times New Roman" w:hAnsi="Times New Roman" w:cs="Times New Roman"/>
            <w:sz w:val="20"/>
            <w:szCs w:val="20"/>
          </w:rPr>
          <w:instrText xml:space="preserve"> PAGE   \* MERGEFORMAT </w:instrText>
        </w:r>
        <w:r w:rsidRPr="00E16A4A">
          <w:rPr>
            <w:rFonts w:ascii="Times New Roman" w:hAnsi="Times New Roman" w:cs="Times New Roman"/>
            <w:sz w:val="20"/>
            <w:szCs w:val="20"/>
          </w:rPr>
          <w:fldChar w:fldCharType="separate"/>
        </w:r>
        <w:r w:rsidR="00697915">
          <w:rPr>
            <w:rFonts w:ascii="Times New Roman" w:hAnsi="Times New Roman" w:cs="Times New Roman"/>
            <w:noProof/>
            <w:sz w:val="20"/>
            <w:szCs w:val="20"/>
          </w:rPr>
          <w:t>151</w:t>
        </w:r>
        <w:r w:rsidRPr="00E16A4A">
          <w:rPr>
            <w:rFonts w:ascii="Times New Roman" w:hAnsi="Times New Roman" w:cs="Times New Roman"/>
            <w:sz w:val="20"/>
            <w:szCs w:val="20"/>
          </w:rPr>
          <w:fldChar w:fldCharType="end"/>
        </w:r>
      </w:p>
    </w:sdtContent>
  </w:sdt>
  <w:p w:rsidR="0015006C" w:rsidRDefault="0015006C">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05C3" w:rsidRDefault="00FB05C3" w:rsidP="00E7509A">
      <w:pPr>
        <w:spacing w:after="0" w:line="240" w:lineRule="auto"/>
      </w:pPr>
      <w:r>
        <w:separator/>
      </w:r>
    </w:p>
  </w:footnote>
  <w:footnote w:type="continuationSeparator" w:id="0">
    <w:p w:rsidR="00FB05C3" w:rsidRDefault="00FB05C3" w:rsidP="00E7509A">
      <w:pPr>
        <w:spacing w:after="0" w:line="240" w:lineRule="auto"/>
      </w:pPr>
      <w:r>
        <w:continuationSeparator/>
      </w:r>
    </w:p>
  </w:footnote>
  <w:footnote w:id="1">
    <w:p w:rsidR="0015006C" w:rsidRPr="00816583" w:rsidRDefault="0015006C" w:rsidP="008931F9">
      <w:pPr>
        <w:pStyle w:val="Tekstprzypisudolnego"/>
        <w:jc w:val="both"/>
        <w:rPr>
          <w:rFonts w:asciiTheme="majorHAnsi" w:hAnsiTheme="majorHAnsi"/>
          <w:lang w:val="en-US"/>
        </w:rPr>
      </w:pPr>
      <w:r>
        <w:rPr>
          <w:rStyle w:val="Odwoanieprzypisudolnego"/>
        </w:rPr>
        <w:footnoteRef/>
      </w:r>
      <w:r w:rsidRPr="008931F9">
        <w:rPr>
          <w:lang w:val="en-US"/>
        </w:rPr>
        <w:t xml:space="preserve"> </w:t>
      </w:r>
      <w:proofErr w:type="spellStart"/>
      <w:r w:rsidRPr="00816583">
        <w:rPr>
          <w:rFonts w:asciiTheme="majorHAnsi" w:hAnsiTheme="majorHAnsi"/>
          <w:lang w:val="en-US"/>
        </w:rPr>
        <w:t>Zob</w:t>
      </w:r>
      <w:proofErr w:type="spellEnd"/>
      <w:r w:rsidRPr="00816583">
        <w:rPr>
          <w:rFonts w:asciiTheme="majorHAnsi" w:hAnsiTheme="majorHAnsi"/>
          <w:lang w:val="en-US"/>
        </w:rPr>
        <w:t xml:space="preserve">. </w:t>
      </w:r>
      <w:proofErr w:type="spellStart"/>
      <w:r w:rsidRPr="00816583">
        <w:rPr>
          <w:rFonts w:asciiTheme="majorHAnsi" w:hAnsiTheme="majorHAnsi"/>
          <w:lang w:val="en-US"/>
        </w:rPr>
        <w:t>np</w:t>
      </w:r>
      <w:proofErr w:type="spellEnd"/>
      <w:r w:rsidRPr="00816583">
        <w:rPr>
          <w:rFonts w:asciiTheme="majorHAnsi" w:hAnsiTheme="majorHAnsi"/>
          <w:lang w:val="en-US"/>
        </w:rPr>
        <w:t xml:space="preserve">. </w:t>
      </w:r>
      <w:proofErr w:type="spellStart"/>
      <w:r w:rsidRPr="00816583">
        <w:rPr>
          <w:rFonts w:asciiTheme="majorHAnsi" w:hAnsiTheme="majorHAnsi"/>
          <w:lang w:val="en-US"/>
        </w:rPr>
        <w:t>Carlquist</w:t>
      </w:r>
      <w:proofErr w:type="spellEnd"/>
      <w:r w:rsidRPr="00816583">
        <w:rPr>
          <w:rFonts w:asciiTheme="majorHAnsi" w:hAnsiTheme="majorHAnsi"/>
          <w:lang w:val="en-US"/>
        </w:rPr>
        <w:t xml:space="preserve"> T. (2008), </w:t>
      </w:r>
      <w:r w:rsidRPr="00816583">
        <w:rPr>
          <w:rFonts w:asciiTheme="majorHAnsi" w:hAnsiTheme="majorHAnsi"/>
          <w:i/>
          <w:lang w:val="en-US"/>
        </w:rPr>
        <w:t>Larger Urban Zones in the URBAN AUDIT</w:t>
      </w:r>
      <w:r w:rsidRPr="00816583">
        <w:rPr>
          <w:rFonts w:asciiTheme="majorHAnsi" w:hAnsiTheme="majorHAnsi"/>
          <w:lang w:val="en-US"/>
        </w:rPr>
        <w:t xml:space="preserve">, [w:] J. </w:t>
      </w:r>
      <w:proofErr w:type="spellStart"/>
      <w:r w:rsidRPr="00816583">
        <w:rPr>
          <w:rFonts w:asciiTheme="majorHAnsi" w:hAnsiTheme="majorHAnsi"/>
          <w:lang w:val="en-US"/>
        </w:rPr>
        <w:t>Dziechciarz</w:t>
      </w:r>
      <w:proofErr w:type="spellEnd"/>
      <w:r w:rsidRPr="00816583">
        <w:rPr>
          <w:rFonts w:asciiTheme="majorHAnsi" w:hAnsiTheme="majorHAnsi"/>
          <w:lang w:val="en-US"/>
        </w:rPr>
        <w:t xml:space="preserve"> (red.) “Globalization Impact on Regional and Urban Statistics”, Proceedings from the 25</w:t>
      </w:r>
      <w:r w:rsidRPr="00816583">
        <w:rPr>
          <w:rFonts w:asciiTheme="majorHAnsi" w:hAnsiTheme="majorHAnsi"/>
          <w:vertAlign w:val="superscript"/>
          <w:lang w:val="en-US"/>
        </w:rPr>
        <w:t>th</w:t>
      </w:r>
      <w:r w:rsidRPr="00816583">
        <w:rPr>
          <w:rFonts w:asciiTheme="majorHAnsi" w:hAnsiTheme="majorHAnsi"/>
          <w:lang w:val="en-US"/>
        </w:rPr>
        <w:t xml:space="preserve"> SCORUS Conference on Regional and Urban Statistics and Research, Publishing House of the </w:t>
      </w:r>
      <w:proofErr w:type="spellStart"/>
      <w:r w:rsidRPr="00816583">
        <w:rPr>
          <w:rFonts w:asciiTheme="majorHAnsi" w:hAnsiTheme="majorHAnsi"/>
          <w:lang w:val="en-US"/>
        </w:rPr>
        <w:t>Wrocław</w:t>
      </w:r>
      <w:proofErr w:type="spellEnd"/>
      <w:r w:rsidRPr="00816583">
        <w:rPr>
          <w:rFonts w:asciiTheme="majorHAnsi" w:hAnsiTheme="majorHAnsi"/>
          <w:lang w:val="en-US"/>
        </w:rPr>
        <w:t xml:space="preserve"> University of Economics, </w:t>
      </w:r>
      <w:proofErr w:type="spellStart"/>
      <w:r w:rsidRPr="00816583">
        <w:rPr>
          <w:rFonts w:asciiTheme="majorHAnsi" w:hAnsiTheme="majorHAnsi"/>
          <w:lang w:val="en-US"/>
        </w:rPr>
        <w:t>Wrocław</w:t>
      </w:r>
      <w:proofErr w:type="spellEnd"/>
      <w:r w:rsidRPr="00816583">
        <w:rPr>
          <w:rFonts w:asciiTheme="majorHAnsi" w:hAnsiTheme="majorHAnsi"/>
          <w:lang w:val="en-US"/>
        </w:rPr>
        <w:t xml:space="preserve">, </w:t>
      </w:r>
      <w:proofErr w:type="spellStart"/>
      <w:r w:rsidRPr="00816583">
        <w:rPr>
          <w:rFonts w:asciiTheme="majorHAnsi" w:hAnsiTheme="majorHAnsi"/>
          <w:lang w:val="en-US"/>
        </w:rPr>
        <w:t>tekst</w:t>
      </w:r>
      <w:proofErr w:type="spellEnd"/>
      <w:r w:rsidRPr="00816583">
        <w:rPr>
          <w:rFonts w:asciiTheme="majorHAnsi" w:hAnsiTheme="majorHAnsi"/>
          <w:lang w:val="en-US"/>
        </w:rPr>
        <w:t xml:space="preserve"> </w:t>
      </w:r>
      <w:proofErr w:type="spellStart"/>
      <w:r w:rsidRPr="00816583">
        <w:rPr>
          <w:rFonts w:asciiTheme="majorHAnsi" w:hAnsiTheme="majorHAnsi"/>
          <w:lang w:val="en-US"/>
        </w:rPr>
        <w:t>dostępny</w:t>
      </w:r>
      <w:proofErr w:type="spellEnd"/>
      <w:r w:rsidRPr="00816583">
        <w:rPr>
          <w:rFonts w:asciiTheme="majorHAnsi" w:hAnsiTheme="majorHAnsi"/>
          <w:lang w:val="en-US"/>
        </w:rPr>
        <w:t xml:space="preserve"> </w:t>
      </w:r>
      <w:proofErr w:type="spellStart"/>
      <w:r w:rsidRPr="00816583">
        <w:rPr>
          <w:rFonts w:asciiTheme="majorHAnsi" w:hAnsiTheme="majorHAnsi"/>
          <w:lang w:val="en-US"/>
        </w:rPr>
        <w:t>również</w:t>
      </w:r>
      <w:proofErr w:type="spellEnd"/>
      <w:r w:rsidRPr="00816583">
        <w:rPr>
          <w:rFonts w:asciiTheme="majorHAnsi" w:hAnsiTheme="majorHAnsi"/>
          <w:lang w:val="en-US"/>
        </w:rPr>
        <w:t xml:space="preserve"> w </w:t>
      </w:r>
      <w:proofErr w:type="spellStart"/>
      <w:r w:rsidRPr="00816583">
        <w:rPr>
          <w:rFonts w:asciiTheme="majorHAnsi" w:hAnsiTheme="majorHAnsi"/>
          <w:lang w:val="en-US"/>
        </w:rPr>
        <w:t>internecie</w:t>
      </w:r>
      <w:proofErr w:type="spellEnd"/>
      <w:r w:rsidRPr="00816583">
        <w:rPr>
          <w:rFonts w:asciiTheme="majorHAnsi" w:hAnsiTheme="majorHAnsi"/>
          <w:lang w:val="en-US"/>
        </w:rPr>
        <w:t xml:space="preserve"> pod </w:t>
      </w:r>
      <w:proofErr w:type="spellStart"/>
      <w:r w:rsidRPr="00816583">
        <w:rPr>
          <w:rFonts w:asciiTheme="majorHAnsi" w:hAnsiTheme="majorHAnsi"/>
          <w:lang w:val="en-US"/>
        </w:rPr>
        <w:t>adresem</w:t>
      </w:r>
      <w:proofErr w:type="spellEnd"/>
      <w:r w:rsidRPr="00816583">
        <w:rPr>
          <w:rFonts w:asciiTheme="majorHAnsi" w:hAnsiTheme="majorHAnsi"/>
          <w:lang w:val="en-US"/>
        </w:rPr>
        <w:t xml:space="preserve">: </w:t>
      </w:r>
      <w:r w:rsidR="001409E4">
        <w:fldChar w:fldCharType="begin"/>
      </w:r>
      <w:r w:rsidR="001409E4" w:rsidRPr="0078237B">
        <w:rPr>
          <w:lang w:val="en-US"/>
        </w:rPr>
        <w:instrText>HYPERLINK "http://159.148.117.10/conferences/year-2006/25th-biennial-scorus-conference/"</w:instrText>
      </w:r>
      <w:r w:rsidR="001409E4">
        <w:fldChar w:fldCharType="separate"/>
      </w:r>
      <w:r w:rsidRPr="00816583">
        <w:rPr>
          <w:rStyle w:val="Hipercze"/>
          <w:rFonts w:asciiTheme="majorHAnsi" w:hAnsiTheme="majorHAnsi"/>
          <w:lang w:val="en-US"/>
        </w:rPr>
        <w:t>http://159.148.117.10/conferences/year-2006/25th-biennial-scorus-conference/</w:t>
      </w:r>
      <w:r w:rsidR="001409E4">
        <w:fldChar w:fldCharType="end"/>
      </w:r>
      <w:r w:rsidRPr="00816583">
        <w:rPr>
          <w:rFonts w:asciiTheme="majorHAnsi" w:hAnsiTheme="majorHAnsi"/>
          <w:lang w:val="en-US"/>
        </w:rPr>
        <w:t xml:space="preserve">; </w:t>
      </w:r>
      <w:proofErr w:type="spellStart"/>
      <w:r w:rsidRPr="00816583">
        <w:rPr>
          <w:rFonts w:asciiTheme="majorHAnsi" w:hAnsiTheme="majorHAnsi"/>
          <w:lang w:val="en-US"/>
        </w:rPr>
        <w:t>lub</w:t>
      </w:r>
      <w:proofErr w:type="spellEnd"/>
      <w:r w:rsidRPr="00816583">
        <w:rPr>
          <w:rFonts w:asciiTheme="majorHAnsi" w:hAnsiTheme="majorHAnsi"/>
          <w:lang w:val="en-US"/>
        </w:rPr>
        <w:t xml:space="preserve"> EC (2007), </w:t>
      </w:r>
      <w:r w:rsidRPr="00816583">
        <w:rPr>
          <w:rFonts w:asciiTheme="majorHAnsi" w:hAnsiTheme="majorHAnsi"/>
          <w:i/>
          <w:lang w:val="en-US"/>
        </w:rPr>
        <w:t>State of European Cities Report, Adding value to the European Urban Audit</w:t>
      </w:r>
      <w:r w:rsidRPr="00816583">
        <w:rPr>
          <w:rFonts w:asciiTheme="majorHAnsi" w:hAnsiTheme="majorHAnsi"/>
          <w:lang w:val="en-US"/>
        </w:rPr>
        <w:t xml:space="preserve">, ECOTEC Research and Consulting Ltd in cooperation with </w:t>
      </w:r>
      <w:proofErr w:type="spellStart"/>
      <w:r w:rsidRPr="00816583">
        <w:rPr>
          <w:rFonts w:asciiTheme="majorHAnsi" w:hAnsiTheme="majorHAnsi"/>
          <w:lang w:val="en-US"/>
        </w:rPr>
        <w:t>NordRegio</w:t>
      </w:r>
      <w:proofErr w:type="spellEnd"/>
      <w:r w:rsidRPr="00816583">
        <w:rPr>
          <w:rFonts w:asciiTheme="majorHAnsi" w:hAnsiTheme="majorHAnsi"/>
          <w:lang w:val="en-US"/>
        </w:rPr>
        <w:t xml:space="preserve"> and </w:t>
      </w:r>
      <w:proofErr w:type="spellStart"/>
      <w:r w:rsidRPr="00816583">
        <w:rPr>
          <w:rFonts w:asciiTheme="majorHAnsi" w:hAnsiTheme="majorHAnsi"/>
          <w:lang w:val="en-US"/>
        </w:rPr>
        <w:t>Eurofutures</w:t>
      </w:r>
      <w:proofErr w:type="spellEnd"/>
      <w:r w:rsidRPr="00816583">
        <w:rPr>
          <w:rFonts w:asciiTheme="majorHAnsi" w:hAnsiTheme="majorHAnsi"/>
          <w:lang w:val="en-US"/>
        </w:rPr>
        <w:t xml:space="preserve">, European Commission, Regional Policy, </w:t>
      </w:r>
      <w:proofErr w:type="spellStart"/>
      <w:r w:rsidRPr="00816583">
        <w:rPr>
          <w:rFonts w:asciiTheme="majorHAnsi" w:hAnsiTheme="majorHAnsi"/>
          <w:lang w:val="en-US"/>
        </w:rPr>
        <w:t>publikacja</w:t>
      </w:r>
      <w:proofErr w:type="spellEnd"/>
      <w:r w:rsidRPr="00816583">
        <w:rPr>
          <w:rFonts w:asciiTheme="majorHAnsi" w:hAnsiTheme="majorHAnsi"/>
          <w:lang w:val="en-US"/>
        </w:rPr>
        <w:t xml:space="preserve"> </w:t>
      </w:r>
      <w:proofErr w:type="spellStart"/>
      <w:r w:rsidRPr="00816583">
        <w:rPr>
          <w:rFonts w:asciiTheme="majorHAnsi" w:hAnsiTheme="majorHAnsi"/>
          <w:lang w:val="en-US"/>
        </w:rPr>
        <w:t>dostępna</w:t>
      </w:r>
      <w:proofErr w:type="spellEnd"/>
      <w:r w:rsidRPr="00816583">
        <w:rPr>
          <w:rFonts w:asciiTheme="majorHAnsi" w:hAnsiTheme="majorHAnsi"/>
          <w:lang w:val="en-US"/>
        </w:rPr>
        <w:t xml:space="preserve"> w </w:t>
      </w:r>
      <w:proofErr w:type="spellStart"/>
      <w:r w:rsidRPr="00816583">
        <w:rPr>
          <w:rFonts w:asciiTheme="majorHAnsi" w:hAnsiTheme="majorHAnsi"/>
          <w:lang w:val="en-US"/>
        </w:rPr>
        <w:t>internecie</w:t>
      </w:r>
      <w:proofErr w:type="spellEnd"/>
      <w:r w:rsidRPr="00816583">
        <w:rPr>
          <w:rFonts w:asciiTheme="majorHAnsi" w:hAnsiTheme="majorHAnsi"/>
          <w:lang w:val="en-US"/>
        </w:rPr>
        <w:t xml:space="preserve"> pod </w:t>
      </w:r>
      <w:proofErr w:type="spellStart"/>
      <w:r w:rsidRPr="00816583">
        <w:rPr>
          <w:rFonts w:asciiTheme="majorHAnsi" w:hAnsiTheme="majorHAnsi"/>
          <w:lang w:val="en-US"/>
        </w:rPr>
        <w:t>adresem</w:t>
      </w:r>
      <w:proofErr w:type="spellEnd"/>
      <w:r w:rsidRPr="00816583">
        <w:rPr>
          <w:rFonts w:asciiTheme="majorHAnsi" w:hAnsiTheme="majorHAnsi"/>
          <w:lang w:val="en-US"/>
        </w:rPr>
        <w:t xml:space="preserve">  </w:t>
      </w:r>
      <w:r w:rsidR="001409E4">
        <w:fldChar w:fldCharType="begin"/>
      </w:r>
      <w:r w:rsidR="001409E4" w:rsidRPr="0078237B">
        <w:rPr>
          <w:lang w:val="en-US"/>
        </w:rPr>
        <w:instrText>HYPERLINK "http://ec.europa.eu/regional_policy/sources/docgener/studies/pdf/urban/stateofcities_2007.pdf"</w:instrText>
      </w:r>
      <w:r w:rsidR="001409E4">
        <w:fldChar w:fldCharType="separate"/>
      </w:r>
      <w:r w:rsidRPr="00816583">
        <w:rPr>
          <w:rStyle w:val="Hipercze"/>
          <w:rFonts w:asciiTheme="majorHAnsi" w:hAnsiTheme="majorHAnsi"/>
          <w:lang w:val="en-US"/>
        </w:rPr>
        <w:t>http://ec.europa.eu/regional_policy/sources/docgener/studies/pdf/urban/stateofcities_2007.pdf</w:t>
      </w:r>
      <w:r w:rsidR="001409E4">
        <w:fldChar w:fldCharType="end"/>
      </w:r>
      <w:r>
        <w:rPr>
          <w:rFonts w:asciiTheme="majorHAnsi" w:hAnsiTheme="majorHAnsi"/>
          <w:lang w:val="en-US"/>
        </w:rPr>
        <w:t xml:space="preserve">, </w:t>
      </w:r>
      <w:proofErr w:type="spellStart"/>
      <w:r w:rsidRPr="00816583">
        <w:rPr>
          <w:rFonts w:asciiTheme="majorHAnsi" w:hAnsiTheme="majorHAnsi"/>
          <w:lang w:val="en-US"/>
        </w:rPr>
        <w:t>bądź</w:t>
      </w:r>
      <w:proofErr w:type="spellEnd"/>
      <w:r w:rsidRPr="00816583">
        <w:rPr>
          <w:rFonts w:asciiTheme="majorHAnsi" w:hAnsiTheme="majorHAnsi"/>
          <w:lang w:val="en-US"/>
        </w:rPr>
        <w:t xml:space="preserve"> </w:t>
      </w:r>
      <w:proofErr w:type="spellStart"/>
      <w:r w:rsidRPr="00816583">
        <w:rPr>
          <w:rFonts w:asciiTheme="majorHAnsi" w:hAnsiTheme="majorHAnsi"/>
          <w:lang w:val="en-US"/>
        </w:rPr>
        <w:t>też</w:t>
      </w:r>
      <w:proofErr w:type="spellEnd"/>
      <w:r w:rsidRPr="00816583">
        <w:rPr>
          <w:rFonts w:asciiTheme="majorHAnsi" w:hAnsiTheme="majorHAnsi"/>
          <w:lang w:val="en-US"/>
        </w:rPr>
        <w:t xml:space="preserve"> EC (2010),  </w:t>
      </w:r>
      <w:r w:rsidRPr="00816583">
        <w:rPr>
          <w:rFonts w:asciiTheme="majorHAnsi" w:hAnsiTheme="majorHAnsi"/>
          <w:i/>
          <w:lang w:val="en-US"/>
        </w:rPr>
        <w:t>Second State of European Cities Report</w:t>
      </w:r>
      <w:r w:rsidRPr="00816583">
        <w:rPr>
          <w:rFonts w:asciiTheme="majorHAnsi" w:hAnsiTheme="majorHAnsi"/>
          <w:lang w:val="en-US"/>
        </w:rPr>
        <w:t xml:space="preserve">, </w:t>
      </w:r>
      <w:proofErr w:type="spellStart"/>
      <w:r w:rsidRPr="00816583">
        <w:rPr>
          <w:rFonts w:asciiTheme="majorHAnsi" w:hAnsiTheme="majorHAnsi"/>
          <w:lang w:val="en-US"/>
        </w:rPr>
        <w:t>Rheinisch-Westfälisches</w:t>
      </w:r>
      <w:proofErr w:type="spellEnd"/>
      <w:r w:rsidRPr="00816583">
        <w:rPr>
          <w:rFonts w:asciiTheme="majorHAnsi" w:hAnsiTheme="majorHAnsi"/>
          <w:lang w:val="en-US"/>
        </w:rPr>
        <w:t xml:space="preserve"> </w:t>
      </w:r>
      <w:proofErr w:type="spellStart"/>
      <w:r w:rsidRPr="00816583">
        <w:rPr>
          <w:rFonts w:asciiTheme="majorHAnsi" w:hAnsiTheme="majorHAnsi"/>
          <w:lang w:val="en-US"/>
        </w:rPr>
        <w:t>Institut</w:t>
      </w:r>
      <w:proofErr w:type="spellEnd"/>
      <w:r w:rsidRPr="00816583">
        <w:rPr>
          <w:rFonts w:asciiTheme="majorHAnsi" w:hAnsiTheme="majorHAnsi"/>
          <w:lang w:val="en-US"/>
        </w:rPr>
        <w:t xml:space="preserve"> </w:t>
      </w:r>
      <w:proofErr w:type="spellStart"/>
      <w:r w:rsidRPr="00816583">
        <w:rPr>
          <w:rFonts w:asciiTheme="majorHAnsi" w:hAnsiTheme="majorHAnsi"/>
          <w:lang w:val="en-US"/>
        </w:rPr>
        <w:t>für</w:t>
      </w:r>
      <w:proofErr w:type="spellEnd"/>
      <w:r w:rsidRPr="00816583">
        <w:rPr>
          <w:rFonts w:asciiTheme="majorHAnsi" w:hAnsiTheme="majorHAnsi"/>
          <w:lang w:val="en-US"/>
        </w:rPr>
        <w:t xml:space="preserve"> </w:t>
      </w:r>
      <w:proofErr w:type="spellStart"/>
      <w:r w:rsidRPr="00816583">
        <w:rPr>
          <w:rFonts w:asciiTheme="majorHAnsi" w:hAnsiTheme="majorHAnsi"/>
          <w:lang w:val="en-US"/>
        </w:rPr>
        <w:t>Wirtschaftsforschung</w:t>
      </w:r>
      <w:proofErr w:type="spellEnd"/>
      <w:r w:rsidRPr="00816583">
        <w:rPr>
          <w:rFonts w:asciiTheme="majorHAnsi" w:hAnsiTheme="majorHAnsi"/>
          <w:lang w:val="en-US"/>
        </w:rPr>
        <w:t xml:space="preserve">, German Institute of Urban Affairs – DIFU, NEA Transport </w:t>
      </w:r>
      <w:r>
        <w:rPr>
          <w:rFonts w:asciiTheme="majorHAnsi" w:hAnsiTheme="majorHAnsi"/>
          <w:lang w:val="en-US"/>
        </w:rPr>
        <w:t>R</w:t>
      </w:r>
      <w:r w:rsidRPr="00816583">
        <w:rPr>
          <w:rFonts w:asciiTheme="majorHAnsi" w:hAnsiTheme="majorHAnsi"/>
          <w:lang w:val="en-US"/>
        </w:rPr>
        <w:t>esearch and Training</w:t>
      </w:r>
      <w:r w:rsidRPr="00816583">
        <w:rPr>
          <w:rFonts w:asciiTheme="majorHAnsi" w:hAnsiTheme="majorHAnsi"/>
          <w:i/>
          <w:lang w:val="en-US"/>
        </w:rPr>
        <w:t xml:space="preserve"> </w:t>
      </w:r>
      <w:r w:rsidRPr="00816583">
        <w:rPr>
          <w:rFonts w:asciiTheme="majorHAnsi" w:hAnsiTheme="majorHAnsi"/>
          <w:lang w:val="en-US"/>
        </w:rPr>
        <w:t xml:space="preserve">Policy Research &amp; Consultancy – PRAC, Research Project for the European Commission, DG Regional Policy, </w:t>
      </w:r>
      <w:hyperlink r:id="rId1" w:history="1">
        <w:r w:rsidRPr="00816583">
          <w:rPr>
            <w:rStyle w:val="Hipercze"/>
            <w:rFonts w:asciiTheme="majorHAnsi" w:hAnsiTheme="majorHAnsi"/>
            <w:lang w:val="en-US"/>
          </w:rPr>
          <w:t>http://ec.europa.eu/regional_policy/sources/docgener/studies/pdf/urban/stateofcities_2010.pdf</w:t>
        </w:r>
      </w:hyperlink>
      <w:r w:rsidRPr="00816583">
        <w:rPr>
          <w:rFonts w:asciiTheme="majorHAnsi" w:hAnsiTheme="majorHAnsi"/>
          <w:lang w:val="en-US"/>
        </w:rPr>
        <w:t>.</w:t>
      </w:r>
    </w:p>
  </w:footnote>
  <w:footnote w:id="2">
    <w:p w:rsidR="0015006C" w:rsidRPr="007F750B" w:rsidRDefault="0015006C">
      <w:pPr>
        <w:pStyle w:val="Tekstprzypisudolnego"/>
        <w:rPr>
          <w:lang w:val="en-US"/>
        </w:rPr>
      </w:pPr>
      <w:r>
        <w:rPr>
          <w:rStyle w:val="Odwoanieprzypisudolnego"/>
        </w:rPr>
        <w:footnoteRef/>
      </w:r>
      <w:r w:rsidRPr="007F750B">
        <w:rPr>
          <w:lang w:val="en-US"/>
        </w:rPr>
        <w:t xml:space="preserve"> </w:t>
      </w:r>
      <w:r w:rsidR="001409E4">
        <w:fldChar w:fldCharType="begin"/>
      </w:r>
      <w:r w:rsidR="001409E4" w:rsidRPr="0078237B">
        <w:rPr>
          <w:lang w:val="en-US"/>
        </w:rPr>
        <w:instrText>HYPERLINK "http://stat.gov.pl/obszary-tematyczne/ludnosc/narodowy-spis-powszechny-ludnosci-i-mieszkan-2011/dojazdy-do-pracy-nsp-2011,28,1.html"</w:instrText>
      </w:r>
      <w:r w:rsidR="001409E4">
        <w:fldChar w:fldCharType="separate"/>
      </w:r>
      <w:r w:rsidRPr="00440C24">
        <w:rPr>
          <w:rStyle w:val="Hipercze"/>
          <w:lang w:val="en-US"/>
        </w:rPr>
        <w:t>http://stat.gov.pl/obszary-tematyczne/ludnosc/narodowy-spis-powszechny-ludnosci-i-mieszkan-2011/dojazdy-do-pracy-nsp-2011,28,1.html</w:t>
      </w:r>
      <w:r w:rsidR="001409E4">
        <w:fldChar w:fldCharType="end"/>
      </w:r>
      <w:r>
        <w:rPr>
          <w:lang w:val="en-US"/>
        </w:rPr>
        <w:t xml:space="preserve"> </w:t>
      </w:r>
    </w:p>
  </w:footnote>
  <w:footnote w:id="3">
    <w:p w:rsidR="0015006C" w:rsidRPr="00816583" w:rsidRDefault="0015006C" w:rsidP="00C02B8A">
      <w:pPr>
        <w:pStyle w:val="Tekstprzypisudolnego"/>
        <w:jc w:val="both"/>
        <w:rPr>
          <w:rFonts w:asciiTheme="majorHAnsi" w:hAnsiTheme="majorHAnsi"/>
        </w:rPr>
      </w:pPr>
      <w:r w:rsidRPr="00816583">
        <w:rPr>
          <w:rStyle w:val="Odwoanieprzypisudolnego"/>
          <w:rFonts w:asciiTheme="majorHAnsi" w:hAnsiTheme="majorHAnsi"/>
        </w:rPr>
        <w:footnoteRef/>
      </w:r>
      <w:r w:rsidRPr="00816583">
        <w:rPr>
          <w:rFonts w:asciiTheme="majorHAnsi" w:hAnsiTheme="majorHAnsi"/>
        </w:rPr>
        <w:t xml:space="preserve"> Chodzi o faktyczne miejsce zamieszkania.  </w:t>
      </w:r>
    </w:p>
  </w:footnote>
  <w:footnote w:id="4">
    <w:p w:rsidR="0015006C" w:rsidRPr="00005410" w:rsidRDefault="0015006C" w:rsidP="00816583">
      <w:pPr>
        <w:pStyle w:val="Tekstprzypisudolnego"/>
        <w:jc w:val="both"/>
        <w:rPr>
          <w:rFonts w:ascii="Times New Roman" w:hAnsi="Times New Roman" w:cs="Times New Roman"/>
        </w:rPr>
      </w:pPr>
      <w:r w:rsidRPr="00005410">
        <w:rPr>
          <w:rStyle w:val="Odwoanieprzypisudolnego"/>
          <w:rFonts w:ascii="Times New Roman" w:hAnsi="Times New Roman" w:cs="Times New Roman"/>
        </w:rPr>
        <w:footnoteRef/>
      </w:r>
      <w:r w:rsidRPr="00005410">
        <w:rPr>
          <w:rFonts w:ascii="Times New Roman" w:hAnsi="Times New Roman" w:cs="Times New Roman"/>
        </w:rPr>
        <w:t xml:space="preserve"> Warto zauważyć, że w przeciwieństwie do innych zmiennych, w przypadku których respondent dokonywał wyboru jednego wariantu odpowiedzi spośród opcji podanych w formularzu spisowym (a więc wyrażonych na nominalnej lub porządkowej skali pomiarowej) tutaj każda badana osoba podawała dokładną liczbę przejeżdżanych kilometrów (a zatem mamy do czynienia ze skalą ilorazową). Analiza tej wielkości może być zatem znacznie bardziej wszechstronna.</w:t>
      </w:r>
    </w:p>
  </w:footnote>
  <w:footnote w:id="5">
    <w:p w:rsidR="0015006C" w:rsidRPr="006B6525" w:rsidRDefault="0015006C">
      <w:pPr>
        <w:pStyle w:val="Tekstprzypisudolnego"/>
        <w:rPr>
          <w:rFonts w:ascii="Times New Roman" w:hAnsi="Times New Roman" w:cs="Times New Roman"/>
        </w:rPr>
      </w:pPr>
      <w:r w:rsidRPr="006B6525">
        <w:rPr>
          <w:rStyle w:val="Odwoanieprzypisudolnego"/>
          <w:rFonts w:ascii="Times New Roman" w:hAnsi="Times New Roman" w:cs="Times New Roman"/>
        </w:rPr>
        <w:footnoteRef/>
      </w:r>
      <w:r w:rsidRPr="006B6525">
        <w:rPr>
          <w:rFonts w:ascii="Times New Roman" w:hAnsi="Times New Roman" w:cs="Times New Roman"/>
        </w:rPr>
        <w:t xml:space="preserve"> </w:t>
      </w:r>
      <w:r>
        <w:rPr>
          <w:rFonts w:ascii="Times New Roman" w:hAnsi="Times New Roman" w:cs="Times New Roman"/>
        </w:rPr>
        <w:t>Wymienieni przewoźnicy</w:t>
      </w:r>
      <w:r w:rsidRPr="006B6525">
        <w:rPr>
          <w:rFonts w:ascii="Times New Roman" w:hAnsi="Times New Roman" w:cs="Times New Roman"/>
        </w:rPr>
        <w:t xml:space="preserve"> świadczą </w:t>
      </w:r>
      <w:r>
        <w:rPr>
          <w:rFonts w:ascii="Times New Roman" w:hAnsi="Times New Roman" w:cs="Times New Roman"/>
        </w:rPr>
        <w:t>też,</w:t>
      </w:r>
      <w:r w:rsidRPr="006B6525">
        <w:rPr>
          <w:rFonts w:ascii="Times New Roman" w:hAnsi="Times New Roman" w:cs="Times New Roman"/>
        </w:rPr>
        <w:t xml:space="preserve"> np. regularne, publicznie dostępne przewozy autokarowe.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40FE2"/>
    <w:multiLevelType w:val="hybridMultilevel"/>
    <w:tmpl w:val="169E31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97067B"/>
    <w:multiLevelType w:val="hybridMultilevel"/>
    <w:tmpl w:val="A5E6E152"/>
    <w:lvl w:ilvl="0" w:tplc="9F60A3F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
    <w:nsid w:val="161A1E85"/>
    <w:multiLevelType w:val="hybridMultilevel"/>
    <w:tmpl w:val="3A7043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FB104D2"/>
    <w:multiLevelType w:val="hybridMultilevel"/>
    <w:tmpl w:val="CB2277A4"/>
    <w:lvl w:ilvl="0" w:tplc="8396B1AC">
      <w:start w:val="1"/>
      <w:numFmt w:val="lowerLetter"/>
      <w:lvlText w:val="%1-"/>
      <w:lvlJc w:val="left"/>
      <w:pPr>
        <w:ind w:left="1116" w:hanging="360"/>
      </w:pPr>
      <w:rPr>
        <w:rFonts w:hint="default"/>
      </w:rPr>
    </w:lvl>
    <w:lvl w:ilvl="1" w:tplc="04150019" w:tentative="1">
      <w:start w:val="1"/>
      <w:numFmt w:val="lowerLetter"/>
      <w:lvlText w:val="%2."/>
      <w:lvlJc w:val="left"/>
      <w:pPr>
        <w:ind w:left="1836" w:hanging="360"/>
      </w:pPr>
    </w:lvl>
    <w:lvl w:ilvl="2" w:tplc="0415001B" w:tentative="1">
      <w:start w:val="1"/>
      <w:numFmt w:val="lowerRoman"/>
      <w:lvlText w:val="%3."/>
      <w:lvlJc w:val="right"/>
      <w:pPr>
        <w:ind w:left="2556" w:hanging="180"/>
      </w:pPr>
    </w:lvl>
    <w:lvl w:ilvl="3" w:tplc="0415000F" w:tentative="1">
      <w:start w:val="1"/>
      <w:numFmt w:val="decimal"/>
      <w:lvlText w:val="%4."/>
      <w:lvlJc w:val="left"/>
      <w:pPr>
        <w:ind w:left="3276" w:hanging="360"/>
      </w:pPr>
    </w:lvl>
    <w:lvl w:ilvl="4" w:tplc="04150019" w:tentative="1">
      <w:start w:val="1"/>
      <w:numFmt w:val="lowerLetter"/>
      <w:lvlText w:val="%5."/>
      <w:lvlJc w:val="left"/>
      <w:pPr>
        <w:ind w:left="3996" w:hanging="360"/>
      </w:pPr>
    </w:lvl>
    <w:lvl w:ilvl="5" w:tplc="0415001B" w:tentative="1">
      <w:start w:val="1"/>
      <w:numFmt w:val="lowerRoman"/>
      <w:lvlText w:val="%6."/>
      <w:lvlJc w:val="right"/>
      <w:pPr>
        <w:ind w:left="4716" w:hanging="180"/>
      </w:pPr>
    </w:lvl>
    <w:lvl w:ilvl="6" w:tplc="0415000F" w:tentative="1">
      <w:start w:val="1"/>
      <w:numFmt w:val="decimal"/>
      <w:lvlText w:val="%7."/>
      <w:lvlJc w:val="left"/>
      <w:pPr>
        <w:ind w:left="5436" w:hanging="360"/>
      </w:pPr>
    </w:lvl>
    <w:lvl w:ilvl="7" w:tplc="04150019" w:tentative="1">
      <w:start w:val="1"/>
      <w:numFmt w:val="lowerLetter"/>
      <w:lvlText w:val="%8."/>
      <w:lvlJc w:val="left"/>
      <w:pPr>
        <w:ind w:left="6156" w:hanging="360"/>
      </w:pPr>
    </w:lvl>
    <w:lvl w:ilvl="8" w:tplc="0415001B" w:tentative="1">
      <w:start w:val="1"/>
      <w:numFmt w:val="lowerRoman"/>
      <w:lvlText w:val="%9."/>
      <w:lvlJc w:val="right"/>
      <w:pPr>
        <w:ind w:left="6876" w:hanging="180"/>
      </w:pPr>
    </w:lvl>
  </w:abstractNum>
  <w:abstractNum w:abstractNumId="4">
    <w:nsid w:val="21EF7FCC"/>
    <w:multiLevelType w:val="hybridMultilevel"/>
    <w:tmpl w:val="65DC43A8"/>
    <w:lvl w:ilvl="0" w:tplc="F81855F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nsid w:val="27256A9D"/>
    <w:multiLevelType w:val="hybridMultilevel"/>
    <w:tmpl w:val="C28C1C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AB631FB"/>
    <w:multiLevelType w:val="hybridMultilevel"/>
    <w:tmpl w:val="51F49476"/>
    <w:lvl w:ilvl="0" w:tplc="2B4660C8">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nsid w:val="2BEE71D4"/>
    <w:multiLevelType w:val="hybridMultilevel"/>
    <w:tmpl w:val="350425A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nsid w:val="33EA5EC2"/>
    <w:multiLevelType w:val="multilevel"/>
    <w:tmpl w:val="61B622B2"/>
    <w:lvl w:ilvl="0">
      <w:start w:val="1"/>
      <w:numFmt w:val="upperRoman"/>
      <w:lvlText w:val="%1."/>
      <w:lvlJc w:val="right"/>
      <w:pPr>
        <w:ind w:left="720" w:hanging="360"/>
      </w:pPr>
      <w:rPr>
        <w:rFonts w:asciiTheme="majorHAnsi" w:eastAsiaTheme="minorHAnsi" w:hAnsiTheme="majorHAnsi" w:cstheme="minorBidi" w:hint="default"/>
      </w:rPr>
    </w:lvl>
    <w:lvl w:ilvl="1">
      <w:start w:val="1"/>
      <w:numFmt w:val="decimal"/>
      <w:lvlText w:val="%1.%2."/>
      <w:lvlJc w:val="left"/>
      <w:pPr>
        <w:ind w:left="2629" w:hanging="360"/>
      </w:pPr>
      <w:rPr>
        <w:rFonts w:hint="default"/>
      </w:rPr>
    </w:lvl>
    <w:lvl w:ilvl="2">
      <w:start w:val="1"/>
      <w:numFmt w:val="decimal"/>
      <w:lvlText w:val="%1.%2.%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367F5440"/>
    <w:multiLevelType w:val="hybridMultilevel"/>
    <w:tmpl w:val="C13C92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A7F3BEF"/>
    <w:multiLevelType w:val="hybridMultilevel"/>
    <w:tmpl w:val="E262457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nsid w:val="4DF8559E"/>
    <w:multiLevelType w:val="hybridMultilevel"/>
    <w:tmpl w:val="A3383A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4CF556A"/>
    <w:multiLevelType w:val="hybridMultilevel"/>
    <w:tmpl w:val="461C24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FBC7615"/>
    <w:multiLevelType w:val="multilevel"/>
    <w:tmpl w:val="CB88A40E"/>
    <w:lvl w:ilvl="0">
      <w:start w:val="1"/>
      <w:numFmt w:val="decimal"/>
      <w:pStyle w:val="Nagwek1"/>
      <w:lvlText w:val="%1."/>
      <w:lvlJc w:val="left"/>
      <w:pPr>
        <w:tabs>
          <w:tab w:val="num" w:pos="720"/>
        </w:tabs>
        <w:ind w:left="720" w:hanging="720"/>
      </w:pPr>
    </w:lvl>
    <w:lvl w:ilvl="1">
      <w:start w:val="1"/>
      <w:numFmt w:val="decimal"/>
      <w:pStyle w:val="Nagwek2"/>
      <w:lvlText w:val="%2."/>
      <w:lvlJc w:val="left"/>
      <w:pPr>
        <w:tabs>
          <w:tab w:val="num" w:pos="1440"/>
        </w:tabs>
        <w:ind w:left="1440" w:hanging="720"/>
      </w:pPr>
    </w:lvl>
    <w:lvl w:ilvl="2">
      <w:start w:val="1"/>
      <w:numFmt w:val="decimal"/>
      <w:pStyle w:val="Nagwek3"/>
      <w:lvlText w:val="%3."/>
      <w:lvlJc w:val="left"/>
      <w:pPr>
        <w:tabs>
          <w:tab w:val="num" w:pos="2160"/>
        </w:tabs>
        <w:ind w:left="2160" w:hanging="720"/>
      </w:pPr>
    </w:lvl>
    <w:lvl w:ilvl="3">
      <w:start w:val="1"/>
      <w:numFmt w:val="decimal"/>
      <w:pStyle w:val="Nagwek4"/>
      <w:lvlText w:val="%4."/>
      <w:lvlJc w:val="left"/>
      <w:pPr>
        <w:tabs>
          <w:tab w:val="num" w:pos="2880"/>
        </w:tabs>
        <w:ind w:left="2880" w:hanging="720"/>
      </w:pPr>
    </w:lvl>
    <w:lvl w:ilvl="4">
      <w:start w:val="1"/>
      <w:numFmt w:val="decimal"/>
      <w:pStyle w:val="Nagwek5"/>
      <w:lvlText w:val="%5."/>
      <w:lvlJc w:val="left"/>
      <w:pPr>
        <w:tabs>
          <w:tab w:val="num" w:pos="3600"/>
        </w:tabs>
        <w:ind w:left="3600" w:hanging="720"/>
      </w:pPr>
    </w:lvl>
    <w:lvl w:ilvl="5">
      <w:start w:val="1"/>
      <w:numFmt w:val="decimal"/>
      <w:pStyle w:val="Nagwek6"/>
      <w:lvlText w:val="%6."/>
      <w:lvlJc w:val="left"/>
      <w:pPr>
        <w:tabs>
          <w:tab w:val="num" w:pos="4320"/>
        </w:tabs>
        <w:ind w:left="4320" w:hanging="720"/>
      </w:pPr>
    </w:lvl>
    <w:lvl w:ilvl="6">
      <w:start w:val="1"/>
      <w:numFmt w:val="decimal"/>
      <w:pStyle w:val="Nagwek7"/>
      <w:lvlText w:val="%7."/>
      <w:lvlJc w:val="left"/>
      <w:pPr>
        <w:tabs>
          <w:tab w:val="num" w:pos="5040"/>
        </w:tabs>
        <w:ind w:left="5040" w:hanging="720"/>
      </w:pPr>
    </w:lvl>
    <w:lvl w:ilvl="7">
      <w:start w:val="1"/>
      <w:numFmt w:val="decimal"/>
      <w:pStyle w:val="Nagwek8"/>
      <w:lvlText w:val="%8."/>
      <w:lvlJc w:val="left"/>
      <w:pPr>
        <w:tabs>
          <w:tab w:val="num" w:pos="5760"/>
        </w:tabs>
        <w:ind w:left="5760" w:hanging="720"/>
      </w:pPr>
    </w:lvl>
    <w:lvl w:ilvl="8">
      <w:start w:val="1"/>
      <w:numFmt w:val="decimal"/>
      <w:pStyle w:val="Nagwek9"/>
      <w:lvlText w:val="%9."/>
      <w:lvlJc w:val="left"/>
      <w:pPr>
        <w:tabs>
          <w:tab w:val="num" w:pos="6480"/>
        </w:tabs>
        <w:ind w:left="6480" w:hanging="720"/>
      </w:pPr>
    </w:lvl>
  </w:abstractNum>
  <w:abstractNum w:abstractNumId="14">
    <w:nsid w:val="651472E2"/>
    <w:multiLevelType w:val="hybridMultilevel"/>
    <w:tmpl w:val="2FC62F3C"/>
    <w:lvl w:ilvl="0" w:tplc="04150001">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15">
    <w:nsid w:val="6DFE767C"/>
    <w:multiLevelType w:val="hybridMultilevel"/>
    <w:tmpl w:val="FAB6D2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6EF92110"/>
    <w:multiLevelType w:val="hybridMultilevel"/>
    <w:tmpl w:val="B64AD5A4"/>
    <w:lvl w:ilvl="0" w:tplc="0C1C051E">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nsid w:val="738C053E"/>
    <w:multiLevelType w:val="hybridMultilevel"/>
    <w:tmpl w:val="A11AEC8C"/>
    <w:lvl w:ilvl="0" w:tplc="8B7ED99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nsid w:val="7B4013A9"/>
    <w:multiLevelType w:val="hybridMultilevel"/>
    <w:tmpl w:val="4C6ACE72"/>
    <w:lvl w:ilvl="0" w:tplc="D6C49E9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2"/>
  </w:num>
  <w:num w:numId="2">
    <w:abstractNumId w:val="8"/>
  </w:num>
  <w:num w:numId="3">
    <w:abstractNumId w:val="4"/>
  </w:num>
  <w:num w:numId="4">
    <w:abstractNumId w:val="3"/>
  </w:num>
  <w:num w:numId="5">
    <w:abstractNumId w:val="13"/>
  </w:num>
  <w:num w:numId="6">
    <w:abstractNumId w:val="10"/>
  </w:num>
  <w:num w:numId="7">
    <w:abstractNumId w:val="16"/>
  </w:num>
  <w:num w:numId="8">
    <w:abstractNumId w:val="1"/>
  </w:num>
  <w:num w:numId="9">
    <w:abstractNumId w:val="17"/>
  </w:num>
  <w:num w:numId="10">
    <w:abstractNumId w:val="6"/>
  </w:num>
  <w:num w:numId="11">
    <w:abstractNumId w:val="18"/>
  </w:num>
  <w:num w:numId="12">
    <w:abstractNumId w:val="14"/>
  </w:num>
  <w:num w:numId="13">
    <w:abstractNumId w:val="7"/>
  </w:num>
  <w:num w:numId="14">
    <w:abstractNumId w:val="5"/>
  </w:num>
  <w:num w:numId="15">
    <w:abstractNumId w:val="11"/>
  </w:num>
  <w:num w:numId="16">
    <w:abstractNumId w:val="0"/>
  </w:num>
  <w:num w:numId="17">
    <w:abstractNumId w:val="2"/>
  </w:num>
  <w:num w:numId="18">
    <w:abstractNumId w:val="9"/>
  </w:num>
  <w:num w:numId="1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defaultTabStop w:val="709"/>
  <w:hyphenationZone w:val="425"/>
  <w:evenAndOddHeaders/>
  <w:drawingGridHorizontalSpacing w:val="110"/>
  <w:displayHorizontalDrawingGridEvery w:val="2"/>
  <w:characterSpacingControl w:val="doNotCompress"/>
  <w:hdrShapeDefaults>
    <o:shapedefaults v:ext="edit" spidmax="113666"/>
  </w:hdrShapeDefaults>
  <w:footnotePr>
    <w:footnote w:id="-1"/>
    <w:footnote w:id="0"/>
  </w:footnotePr>
  <w:endnotePr>
    <w:endnote w:id="-1"/>
    <w:endnote w:id="0"/>
  </w:endnotePr>
  <w:compat/>
  <w:rsids>
    <w:rsidRoot w:val="00016BA6"/>
    <w:rsid w:val="00000DF0"/>
    <w:rsid w:val="00000DF4"/>
    <w:rsid w:val="00001C3E"/>
    <w:rsid w:val="0000251A"/>
    <w:rsid w:val="00002641"/>
    <w:rsid w:val="00002A8F"/>
    <w:rsid w:val="0000383B"/>
    <w:rsid w:val="000045A3"/>
    <w:rsid w:val="00004C46"/>
    <w:rsid w:val="00004E52"/>
    <w:rsid w:val="00004FE3"/>
    <w:rsid w:val="00005410"/>
    <w:rsid w:val="000057A2"/>
    <w:rsid w:val="00007B12"/>
    <w:rsid w:val="0001001C"/>
    <w:rsid w:val="00010B58"/>
    <w:rsid w:val="00011230"/>
    <w:rsid w:val="00011A74"/>
    <w:rsid w:val="0001225A"/>
    <w:rsid w:val="0001428A"/>
    <w:rsid w:val="0001449D"/>
    <w:rsid w:val="00014978"/>
    <w:rsid w:val="00014EAA"/>
    <w:rsid w:val="0001694E"/>
    <w:rsid w:val="00016BA6"/>
    <w:rsid w:val="0002215A"/>
    <w:rsid w:val="00024438"/>
    <w:rsid w:val="00024B79"/>
    <w:rsid w:val="00025838"/>
    <w:rsid w:val="00027558"/>
    <w:rsid w:val="0002779B"/>
    <w:rsid w:val="00031506"/>
    <w:rsid w:val="000319D2"/>
    <w:rsid w:val="00031E64"/>
    <w:rsid w:val="00032891"/>
    <w:rsid w:val="0003296B"/>
    <w:rsid w:val="00032A42"/>
    <w:rsid w:val="00033CCC"/>
    <w:rsid w:val="0003448F"/>
    <w:rsid w:val="0003508B"/>
    <w:rsid w:val="000353F5"/>
    <w:rsid w:val="0003589F"/>
    <w:rsid w:val="00036694"/>
    <w:rsid w:val="00037416"/>
    <w:rsid w:val="00037A8B"/>
    <w:rsid w:val="00037DBA"/>
    <w:rsid w:val="00037EA5"/>
    <w:rsid w:val="0004040B"/>
    <w:rsid w:val="00041739"/>
    <w:rsid w:val="00041CDB"/>
    <w:rsid w:val="00041F96"/>
    <w:rsid w:val="000422FE"/>
    <w:rsid w:val="000432D5"/>
    <w:rsid w:val="00043A5E"/>
    <w:rsid w:val="0004475D"/>
    <w:rsid w:val="00045554"/>
    <w:rsid w:val="00046145"/>
    <w:rsid w:val="00050763"/>
    <w:rsid w:val="00050C62"/>
    <w:rsid w:val="00050CDA"/>
    <w:rsid w:val="00051B8A"/>
    <w:rsid w:val="000530A2"/>
    <w:rsid w:val="0005357F"/>
    <w:rsid w:val="00054E5B"/>
    <w:rsid w:val="00055C1D"/>
    <w:rsid w:val="00061AD2"/>
    <w:rsid w:val="00062081"/>
    <w:rsid w:val="00062273"/>
    <w:rsid w:val="00062A6B"/>
    <w:rsid w:val="0006391F"/>
    <w:rsid w:val="000642CF"/>
    <w:rsid w:val="000705C9"/>
    <w:rsid w:val="00070A11"/>
    <w:rsid w:val="00071C46"/>
    <w:rsid w:val="00072155"/>
    <w:rsid w:val="000721B9"/>
    <w:rsid w:val="00076DAC"/>
    <w:rsid w:val="0007743E"/>
    <w:rsid w:val="00077AD5"/>
    <w:rsid w:val="00077F91"/>
    <w:rsid w:val="000806B9"/>
    <w:rsid w:val="000816D6"/>
    <w:rsid w:val="000818BD"/>
    <w:rsid w:val="0008280C"/>
    <w:rsid w:val="00082A37"/>
    <w:rsid w:val="00082A89"/>
    <w:rsid w:val="0008647E"/>
    <w:rsid w:val="000906DB"/>
    <w:rsid w:val="000909AB"/>
    <w:rsid w:val="00090ED7"/>
    <w:rsid w:val="00090F24"/>
    <w:rsid w:val="00091FBD"/>
    <w:rsid w:val="00092B51"/>
    <w:rsid w:val="0009344B"/>
    <w:rsid w:val="00094700"/>
    <w:rsid w:val="00094F15"/>
    <w:rsid w:val="000951FA"/>
    <w:rsid w:val="000977AD"/>
    <w:rsid w:val="00097BA2"/>
    <w:rsid w:val="000A0558"/>
    <w:rsid w:val="000A14D1"/>
    <w:rsid w:val="000A2532"/>
    <w:rsid w:val="000A2886"/>
    <w:rsid w:val="000A3305"/>
    <w:rsid w:val="000A4293"/>
    <w:rsid w:val="000A479F"/>
    <w:rsid w:val="000A65FB"/>
    <w:rsid w:val="000A6AF7"/>
    <w:rsid w:val="000A6D42"/>
    <w:rsid w:val="000A73B1"/>
    <w:rsid w:val="000B052F"/>
    <w:rsid w:val="000B07C4"/>
    <w:rsid w:val="000B0F52"/>
    <w:rsid w:val="000B0FB8"/>
    <w:rsid w:val="000B118B"/>
    <w:rsid w:val="000B1247"/>
    <w:rsid w:val="000B14BA"/>
    <w:rsid w:val="000B1613"/>
    <w:rsid w:val="000B1BB5"/>
    <w:rsid w:val="000B22BC"/>
    <w:rsid w:val="000B2456"/>
    <w:rsid w:val="000B3C4F"/>
    <w:rsid w:val="000B3CBA"/>
    <w:rsid w:val="000B5143"/>
    <w:rsid w:val="000B5B4B"/>
    <w:rsid w:val="000B60ED"/>
    <w:rsid w:val="000B668F"/>
    <w:rsid w:val="000B6A8E"/>
    <w:rsid w:val="000B7AD7"/>
    <w:rsid w:val="000C0150"/>
    <w:rsid w:val="000C020A"/>
    <w:rsid w:val="000C09C0"/>
    <w:rsid w:val="000C43C5"/>
    <w:rsid w:val="000C65F0"/>
    <w:rsid w:val="000C735F"/>
    <w:rsid w:val="000D070F"/>
    <w:rsid w:val="000D1111"/>
    <w:rsid w:val="000D1226"/>
    <w:rsid w:val="000D1AC1"/>
    <w:rsid w:val="000D2255"/>
    <w:rsid w:val="000D3147"/>
    <w:rsid w:val="000D3BBA"/>
    <w:rsid w:val="000D5AEA"/>
    <w:rsid w:val="000D726A"/>
    <w:rsid w:val="000D74AE"/>
    <w:rsid w:val="000D79E3"/>
    <w:rsid w:val="000D7BA4"/>
    <w:rsid w:val="000D7D23"/>
    <w:rsid w:val="000E1FD2"/>
    <w:rsid w:val="000E3D2E"/>
    <w:rsid w:val="000E4226"/>
    <w:rsid w:val="000E510A"/>
    <w:rsid w:val="000E537A"/>
    <w:rsid w:val="000E6154"/>
    <w:rsid w:val="000F0AB1"/>
    <w:rsid w:val="000F10FA"/>
    <w:rsid w:val="000F1B3E"/>
    <w:rsid w:val="000F20E4"/>
    <w:rsid w:val="000F4ACF"/>
    <w:rsid w:val="000F4B37"/>
    <w:rsid w:val="000F52FB"/>
    <w:rsid w:val="000F5347"/>
    <w:rsid w:val="000F53A7"/>
    <w:rsid w:val="000F67D8"/>
    <w:rsid w:val="00100FFA"/>
    <w:rsid w:val="00101388"/>
    <w:rsid w:val="001015A5"/>
    <w:rsid w:val="00101EC8"/>
    <w:rsid w:val="001020A5"/>
    <w:rsid w:val="001038B0"/>
    <w:rsid w:val="00104DCA"/>
    <w:rsid w:val="0010531F"/>
    <w:rsid w:val="001077F5"/>
    <w:rsid w:val="00107801"/>
    <w:rsid w:val="00107FC5"/>
    <w:rsid w:val="00110162"/>
    <w:rsid w:val="00111487"/>
    <w:rsid w:val="001114CE"/>
    <w:rsid w:val="00111C94"/>
    <w:rsid w:val="001121B7"/>
    <w:rsid w:val="00112C9E"/>
    <w:rsid w:val="00113688"/>
    <w:rsid w:val="0011375C"/>
    <w:rsid w:val="00114A38"/>
    <w:rsid w:val="00115DEB"/>
    <w:rsid w:val="00121330"/>
    <w:rsid w:val="0012135F"/>
    <w:rsid w:val="00122AC9"/>
    <w:rsid w:val="0012312B"/>
    <w:rsid w:val="0012332A"/>
    <w:rsid w:val="00123C1E"/>
    <w:rsid w:val="00124C62"/>
    <w:rsid w:val="001257BF"/>
    <w:rsid w:val="00126091"/>
    <w:rsid w:val="001268EB"/>
    <w:rsid w:val="00130F68"/>
    <w:rsid w:val="001317AD"/>
    <w:rsid w:val="001328C0"/>
    <w:rsid w:val="00134A57"/>
    <w:rsid w:val="001353F2"/>
    <w:rsid w:val="00135535"/>
    <w:rsid w:val="00137C4D"/>
    <w:rsid w:val="00140080"/>
    <w:rsid w:val="001409E4"/>
    <w:rsid w:val="00140C2E"/>
    <w:rsid w:val="00140FB3"/>
    <w:rsid w:val="00141BF8"/>
    <w:rsid w:val="001420AE"/>
    <w:rsid w:val="001423D3"/>
    <w:rsid w:val="0014299B"/>
    <w:rsid w:val="00142B29"/>
    <w:rsid w:val="00144226"/>
    <w:rsid w:val="00144816"/>
    <w:rsid w:val="00147273"/>
    <w:rsid w:val="0015006C"/>
    <w:rsid w:val="001507E1"/>
    <w:rsid w:val="001513A4"/>
    <w:rsid w:val="0015299C"/>
    <w:rsid w:val="001529A9"/>
    <w:rsid w:val="001530B7"/>
    <w:rsid w:val="0015407C"/>
    <w:rsid w:val="001542EB"/>
    <w:rsid w:val="00155F6C"/>
    <w:rsid w:val="001564E8"/>
    <w:rsid w:val="00157075"/>
    <w:rsid w:val="00160499"/>
    <w:rsid w:val="00160979"/>
    <w:rsid w:val="00160EAB"/>
    <w:rsid w:val="00161E05"/>
    <w:rsid w:val="0016219E"/>
    <w:rsid w:val="00162203"/>
    <w:rsid w:val="00162EDF"/>
    <w:rsid w:val="00163A29"/>
    <w:rsid w:val="001654FF"/>
    <w:rsid w:val="00165736"/>
    <w:rsid w:val="00165952"/>
    <w:rsid w:val="001667D9"/>
    <w:rsid w:val="00166AFB"/>
    <w:rsid w:val="00167096"/>
    <w:rsid w:val="00167D26"/>
    <w:rsid w:val="0017078F"/>
    <w:rsid w:val="00170B5D"/>
    <w:rsid w:val="0017133B"/>
    <w:rsid w:val="001715DA"/>
    <w:rsid w:val="00171FEA"/>
    <w:rsid w:val="00173BAC"/>
    <w:rsid w:val="001751E3"/>
    <w:rsid w:val="00175B8A"/>
    <w:rsid w:val="0018026D"/>
    <w:rsid w:val="0018055C"/>
    <w:rsid w:val="0018153F"/>
    <w:rsid w:val="0018156E"/>
    <w:rsid w:val="00184467"/>
    <w:rsid w:val="00184E9C"/>
    <w:rsid w:val="00190810"/>
    <w:rsid w:val="00191486"/>
    <w:rsid w:val="001915D6"/>
    <w:rsid w:val="00191672"/>
    <w:rsid w:val="00191D47"/>
    <w:rsid w:val="00192D1B"/>
    <w:rsid w:val="00192E9B"/>
    <w:rsid w:val="00193E85"/>
    <w:rsid w:val="001960B0"/>
    <w:rsid w:val="00196C22"/>
    <w:rsid w:val="00196F99"/>
    <w:rsid w:val="001971F2"/>
    <w:rsid w:val="001A0AC0"/>
    <w:rsid w:val="001A2F5E"/>
    <w:rsid w:val="001A3661"/>
    <w:rsid w:val="001A5745"/>
    <w:rsid w:val="001A5965"/>
    <w:rsid w:val="001A6574"/>
    <w:rsid w:val="001A7049"/>
    <w:rsid w:val="001B1139"/>
    <w:rsid w:val="001B137C"/>
    <w:rsid w:val="001B165B"/>
    <w:rsid w:val="001B3797"/>
    <w:rsid w:val="001B3895"/>
    <w:rsid w:val="001B38C4"/>
    <w:rsid w:val="001B4513"/>
    <w:rsid w:val="001B46BF"/>
    <w:rsid w:val="001B4B48"/>
    <w:rsid w:val="001B4FFE"/>
    <w:rsid w:val="001B6143"/>
    <w:rsid w:val="001B61E9"/>
    <w:rsid w:val="001B6BFC"/>
    <w:rsid w:val="001B72D2"/>
    <w:rsid w:val="001B77FC"/>
    <w:rsid w:val="001C0ADF"/>
    <w:rsid w:val="001C19AA"/>
    <w:rsid w:val="001C1F4D"/>
    <w:rsid w:val="001C3F09"/>
    <w:rsid w:val="001C46D2"/>
    <w:rsid w:val="001C47BD"/>
    <w:rsid w:val="001C4CBD"/>
    <w:rsid w:val="001C75DB"/>
    <w:rsid w:val="001D0DA9"/>
    <w:rsid w:val="001D10E9"/>
    <w:rsid w:val="001D1744"/>
    <w:rsid w:val="001D399C"/>
    <w:rsid w:val="001D42EB"/>
    <w:rsid w:val="001D5677"/>
    <w:rsid w:val="001D5FFF"/>
    <w:rsid w:val="001D666F"/>
    <w:rsid w:val="001D66BB"/>
    <w:rsid w:val="001D70C2"/>
    <w:rsid w:val="001D7F18"/>
    <w:rsid w:val="001D7F1A"/>
    <w:rsid w:val="001E02AA"/>
    <w:rsid w:val="001E0D3D"/>
    <w:rsid w:val="001E1193"/>
    <w:rsid w:val="001E1DC1"/>
    <w:rsid w:val="001E2480"/>
    <w:rsid w:val="001E3345"/>
    <w:rsid w:val="001E3367"/>
    <w:rsid w:val="001E4019"/>
    <w:rsid w:val="001E40D6"/>
    <w:rsid w:val="001E481C"/>
    <w:rsid w:val="001E6C62"/>
    <w:rsid w:val="001F044E"/>
    <w:rsid w:val="001F09BF"/>
    <w:rsid w:val="001F2D21"/>
    <w:rsid w:val="001F2DC2"/>
    <w:rsid w:val="001F4771"/>
    <w:rsid w:val="001F5B88"/>
    <w:rsid w:val="001F66DB"/>
    <w:rsid w:val="001F7061"/>
    <w:rsid w:val="001F78C7"/>
    <w:rsid w:val="001F7DDB"/>
    <w:rsid w:val="00200D26"/>
    <w:rsid w:val="002015D4"/>
    <w:rsid w:val="0020315B"/>
    <w:rsid w:val="0020651E"/>
    <w:rsid w:val="00207505"/>
    <w:rsid w:val="00207DDE"/>
    <w:rsid w:val="00210196"/>
    <w:rsid w:val="00211584"/>
    <w:rsid w:val="0021220A"/>
    <w:rsid w:val="00212904"/>
    <w:rsid w:val="0021354A"/>
    <w:rsid w:val="00213872"/>
    <w:rsid w:val="00214281"/>
    <w:rsid w:val="002143D0"/>
    <w:rsid w:val="002153AC"/>
    <w:rsid w:val="002155A0"/>
    <w:rsid w:val="002173B0"/>
    <w:rsid w:val="00217F12"/>
    <w:rsid w:val="00220725"/>
    <w:rsid w:val="00221F23"/>
    <w:rsid w:val="002220DE"/>
    <w:rsid w:val="002238DA"/>
    <w:rsid w:val="00223E40"/>
    <w:rsid w:val="0022464C"/>
    <w:rsid w:val="002254FD"/>
    <w:rsid w:val="002273F7"/>
    <w:rsid w:val="00230136"/>
    <w:rsid w:val="0023271D"/>
    <w:rsid w:val="002333C6"/>
    <w:rsid w:val="00234259"/>
    <w:rsid w:val="00234F11"/>
    <w:rsid w:val="00236066"/>
    <w:rsid w:val="00236CB7"/>
    <w:rsid w:val="0024130F"/>
    <w:rsid w:val="00241AFC"/>
    <w:rsid w:val="00243141"/>
    <w:rsid w:val="00243315"/>
    <w:rsid w:val="00243CD6"/>
    <w:rsid w:val="00243FE8"/>
    <w:rsid w:val="002448B3"/>
    <w:rsid w:val="0024503A"/>
    <w:rsid w:val="002501EB"/>
    <w:rsid w:val="00250588"/>
    <w:rsid w:val="00250BCC"/>
    <w:rsid w:val="00252B11"/>
    <w:rsid w:val="00252F99"/>
    <w:rsid w:val="002546A1"/>
    <w:rsid w:val="002546F5"/>
    <w:rsid w:val="00255376"/>
    <w:rsid w:val="00256AC2"/>
    <w:rsid w:val="0025704C"/>
    <w:rsid w:val="00257555"/>
    <w:rsid w:val="00257E36"/>
    <w:rsid w:val="00260210"/>
    <w:rsid w:val="002605D2"/>
    <w:rsid w:val="00260DA4"/>
    <w:rsid w:val="002615D5"/>
    <w:rsid w:val="0026208B"/>
    <w:rsid w:val="00264205"/>
    <w:rsid w:val="00266BFA"/>
    <w:rsid w:val="00267607"/>
    <w:rsid w:val="00270C3A"/>
    <w:rsid w:val="002731D7"/>
    <w:rsid w:val="00275187"/>
    <w:rsid w:val="002760E0"/>
    <w:rsid w:val="00280C0C"/>
    <w:rsid w:val="00280D18"/>
    <w:rsid w:val="00282C77"/>
    <w:rsid w:val="00283BFA"/>
    <w:rsid w:val="002844AC"/>
    <w:rsid w:val="00284BCB"/>
    <w:rsid w:val="0028600F"/>
    <w:rsid w:val="002861CC"/>
    <w:rsid w:val="002879AC"/>
    <w:rsid w:val="002905E7"/>
    <w:rsid w:val="00291091"/>
    <w:rsid w:val="0029219B"/>
    <w:rsid w:val="00292622"/>
    <w:rsid w:val="002927BC"/>
    <w:rsid w:val="00292E7D"/>
    <w:rsid w:val="00295819"/>
    <w:rsid w:val="0029583C"/>
    <w:rsid w:val="0029666D"/>
    <w:rsid w:val="00297490"/>
    <w:rsid w:val="002A01DD"/>
    <w:rsid w:val="002A10CD"/>
    <w:rsid w:val="002A12C7"/>
    <w:rsid w:val="002A1EA5"/>
    <w:rsid w:val="002A57B1"/>
    <w:rsid w:val="002A7289"/>
    <w:rsid w:val="002A79CA"/>
    <w:rsid w:val="002B0C82"/>
    <w:rsid w:val="002B0DD8"/>
    <w:rsid w:val="002B140F"/>
    <w:rsid w:val="002B2A34"/>
    <w:rsid w:val="002B2F99"/>
    <w:rsid w:val="002B5C0F"/>
    <w:rsid w:val="002B6BC2"/>
    <w:rsid w:val="002B7D28"/>
    <w:rsid w:val="002C1252"/>
    <w:rsid w:val="002C13B4"/>
    <w:rsid w:val="002C151B"/>
    <w:rsid w:val="002C4037"/>
    <w:rsid w:val="002C4EC2"/>
    <w:rsid w:val="002C57DB"/>
    <w:rsid w:val="002C67D7"/>
    <w:rsid w:val="002D06F4"/>
    <w:rsid w:val="002D0A2E"/>
    <w:rsid w:val="002D2003"/>
    <w:rsid w:val="002D2596"/>
    <w:rsid w:val="002D2674"/>
    <w:rsid w:val="002D420F"/>
    <w:rsid w:val="002D422E"/>
    <w:rsid w:val="002D43E6"/>
    <w:rsid w:val="002D5E5E"/>
    <w:rsid w:val="002D62AF"/>
    <w:rsid w:val="002E0BC4"/>
    <w:rsid w:val="002E11A5"/>
    <w:rsid w:val="002E2810"/>
    <w:rsid w:val="002E29EB"/>
    <w:rsid w:val="002E346C"/>
    <w:rsid w:val="002E3B3D"/>
    <w:rsid w:val="002E3CBF"/>
    <w:rsid w:val="002E4DD9"/>
    <w:rsid w:val="002E5600"/>
    <w:rsid w:val="002E6041"/>
    <w:rsid w:val="002E6B23"/>
    <w:rsid w:val="002E6FCC"/>
    <w:rsid w:val="002E7957"/>
    <w:rsid w:val="002E7FE8"/>
    <w:rsid w:val="002F0AE1"/>
    <w:rsid w:val="002F0E55"/>
    <w:rsid w:val="002F15BB"/>
    <w:rsid w:val="002F2C39"/>
    <w:rsid w:val="002F34BF"/>
    <w:rsid w:val="002F3631"/>
    <w:rsid w:val="002F364C"/>
    <w:rsid w:val="002F3E73"/>
    <w:rsid w:val="002F4555"/>
    <w:rsid w:val="002F4565"/>
    <w:rsid w:val="002F53A6"/>
    <w:rsid w:val="002F54F0"/>
    <w:rsid w:val="002F57AE"/>
    <w:rsid w:val="002F6711"/>
    <w:rsid w:val="002F734D"/>
    <w:rsid w:val="002F7D0B"/>
    <w:rsid w:val="002F7DF8"/>
    <w:rsid w:val="00300ACF"/>
    <w:rsid w:val="00300C1B"/>
    <w:rsid w:val="0030337A"/>
    <w:rsid w:val="00305501"/>
    <w:rsid w:val="003058A7"/>
    <w:rsid w:val="00305D10"/>
    <w:rsid w:val="0030623A"/>
    <w:rsid w:val="0030789C"/>
    <w:rsid w:val="00311048"/>
    <w:rsid w:val="003110F4"/>
    <w:rsid w:val="003120DD"/>
    <w:rsid w:val="0031236B"/>
    <w:rsid w:val="00312766"/>
    <w:rsid w:val="00312B9C"/>
    <w:rsid w:val="00313F47"/>
    <w:rsid w:val="00314537"/>
    <w:rsid w:val="003146B1"/>
    <w:rsid w:val="00315240"/>
    <w:rsid w:val="00315C46"/>
    <w:rsid w:val="00316774"/>
    <w:rsid w:val="0031702A"/>
    <w:rsid w:val="003179D5"/>
    <w:rsid w:val="00317CC1"/>
    <w:rsid w:val="00322834"/>
    <w:rsid w:val="00322B4E"/>
    <w:rsid w:val="003236E9"/>
    <w:rsid w:val="00323A89"/>
    <w:rsid w:val="0032512D"/>
    <w:rsid w:val="00325655"/>
    <w:rsid w:val="00326729"/>
    <w:rsid w:val="00326C05"/>
    <w:rsid w:val="003300F8"/>
    <w:rsid w:val="003306A4"/>
    <w:rsid w:val="00330FCA"/>
    <w:rsid w:val="00331A0F"/>
    <w:rsid w:val="00331B06"/>
    <w:rsid w:val="00331BF0"/>
    <w:rsid w:val="00333609"/>
    <w:rsid w:val="003339B9"/>
    <w:rsid w:val="00334633"/>
    <w:rsid w:val="003346DA"/>
    <w:rsid w:val="00334762"/>
    <w:rsid w:val="00335A4B"/>
    <w:rsid w:val="00337969"/>
    <w:rsid w:val="0033798F"/>
    <w:rsid w:val="00341898"/>
    <w:rsid w:val="00342E65"/>
    <w:rsid w:val="003450E1"/>
    <w:rsid w:val="003452A5"/>
    <w:rsid w:val="003468DF"/>
    <w:rsid w:val="00347FEC"/>
    <w:rsid w:val="0035178A"/>
    <w:rsid w:val="00351BFB"/>
    <w:rsid w:val="00351F3B"/>
    <w:rsid w:val="00352200"/>
    <w:rsid w:val="003529AE"/>
    <w:rsid w:val="00352CA9"/>
    <w:rsid w:val="00352E30"/>
    <w:rsid w:val="00352F3C"/>
    <w:rsid w:val="00353363"/>
    <w:rsid w:val="0035342C"/>
    <w:rsid w:val="00353CFB"/>
    <w:rsid w:val="003542D4"/>
    <w:rsid w:val="00354997"/>
    <w:rsid w:val="00355110"/>
    <w:rsid w:val="00355BFC"/>
    <w:rsid w:val="00355E5D"/>
    <w:rsid w:val="00357ED4"/>
    <w:rsid w:val="003612AB"/>
    <w:rsid w:val="00363AAB"/>
    <w:rsid w:val="00363BE5"/>
    <w:rsid w:val="003655A7"/>
    <w:rsid w:val="0036599A"/>
    <w:rsid w:val="00365CB2"/>
    <w:rsid w:val="00366C12"/>
    <w:rsid w:val="003670BE"/>
    <w:rsid w:val="003672A8"/>
    <w:rsid w:val="0037047F"/>
    <w:rsid w:val="00370CC3"/>
    <w:rsid w:val="00372C5A"/>
    <w:rsid w:val="00372CC5"/>
    <w:rsid w:val="003738A2"/>
    <w:rsid w:val="00374FBB"/>
    <w:rsid w:val="00375979"/>
    <w:rsid w:val="00375A93"/>
    <w:rsid w:val="00376272"/>
    <w:rsid w:val="003802A1"/>
    <w:rsid w:val="00380C80"/>
    <w:rsid w:val="00382092"/>
    <w:rsid w:val="00384305"/>
    <w:rsid w:val="0038575C"/>
    <w:rsid w:val="00385F49"/>
    <w:rsid w:val="0038698D"/>
    <w:rsid w:val="00386D63"/>
    <w:rsid w:val="003870CC"/>
    <w:rsid w:val="003904E8"/>
    <w:rsid w:val="00390A61"/>
    <w:rsid w:val="0039176B"/>
    <w:rsid w:val="003928D1"/>
    <w:rsid w:val="00392EE2"/>
    <w:rsid w:val="00393722"/>
    <w:rsid w:val="00394893"/>
    <w:rsid w:val="0039533B"/>
    <w:rsid w:val="00395566"/>
    <w:rsid w:val="00397BBC"/>
    <w:rsid w:val="003A0043"/>
    <w:rsid w:val="003A0FE6"/>
    <w:rsid w:val="003A1206"/>
    <w:rsid w:val="003A173C"/>
    <w:rsid w:val="003A1A6F"/>
    <w:rsid w:val="003A28B7"/>
    <w:rsid w:val="003A31D5"/>
    <w:rsid w:val="003A3373"/>
    <w:rsid w:val="003A366E"/>
    <w:rsid w:val="003A43DE"/>
    <w:rsid w:val="003A460D"/>
    <w:rsid w:val="003A6F4F"/>
    <w:rsid w:val="003B32EB"/>
    <w:rsid w:val="003B3374"/>
    <w:rsid w:val="003B35E4"/>
    <w:rsid w:val="003B493E"/>
    <w:rsid w:val="003B5420"/>
    <w:rsid w:val="003B5DAE"/>
    <w:rsid w:val="003B6D9C"/>
    <w:rsid w:val="003B7182"/>
    <w:rsid w:val="003B74E9"/>
    <w:rsid w:val="003B7910"/>
    <w:rsid w:val="003B7BCB"/>
    <w:rsid w:val="003C07C2"/>
    <w:rsid w:val="003C099B"/>
    <w:rsid w:val="003C23FE"/>
    <w:rsid w:val="003C2739"/>
    <w:rsid w:val="003C2EC4"/>
    <w:rsid w:val="003C36B0"/>
    <w:rsid w:val="003C62A3"/>
    <w:rsid w:val="003C6630"/>
    <w:rsid w:val="003C66CF"/>
    <w:rsid w:val="003C6BE3"/>
    <w:rsid w:val="003C6DE9"/>
    <w:rsid w:val="003C78C2"/>
    <w:rsid w:val="003D09CC"/>
    <w:rsid w:val="003D1BF3"/>
    <w:rsid w:val="003D2044"/>
    <w:rsid w:val="003D216B"/>
    <w:rsid w:val="003D21D5"/>
    <w:rsid w:val="003D2314"/>
    <w:rsid w:val="003D2F3B"/>
    <w:rsid w:val="003D34AE"/>
    <w:rsid w:val="003D3738"/>
    <w:rsid w:val="003D4E28"/>
    <w:rsid w:val="003D5AD3"/>
    <w:rsid w:val="003D7092"/>
    <w:rsid w:val="003E0C1D"/>
    <w:rsid w:val="003E328C"/>
    <w:rsid w:val="003E4B7B"/>
    <w:rsid w:val="003E4CB5"/>
    <w:rsid w:val="003E4D56"/>
    <w:rsid w:val="003E704C"/>
    <w:rsid w:val="003E781B"/>
    <w:rsid w:val="003E7967"/>
    <w:rsid w:val="003E7F27"/>
    <w:rsid w:val="003F1668"/>
    <w:rsid w:val="003F33FF"/>
    <w:rsid w:val="003F43BD"/>
    <w:rsid w:val="003F45F6"/>
    <w:rsid w:val="003F6507"/>
    <w:rsid w:val="003F6F39"/>
    <w:rsid w:val="003F7AD3"/>
    <w:rsid w:val="00400316"/>
    <w:rsid w:val="00403215"/>
    <w:rsid w:val="00406DA0"/>
    <w:rsid w:val="00410163"/>
    <w:rsid w:val="00412103"/>
    <w:rsid w:val="004138CB"/>
    <w:rsid w:val="00414863"/>
    <w:rsid w:val="00415669"/>
    <w:rsid w:val="004210BB"/>
    <w:rsid w:val="004211D0"/>
    <w:rsid w:val="00421934"/>
    <w:rsid w:val="00421DE5"/>
    <w:rsid w:val="004236BA"/>
    <w:rsid w:val="00424637"/>
    <w:rsid w:val="0042595F"/>
    <w:rsid w:val="00427049"/>
    <w:rsid w:val="00427A1A"/>
    <w:rsid w:val="00430150"/>
    <w:rsid w:val="004303CE"/>
    <w:rsid w:val="00431015"/>
    <w:rsid w:val="00431459"/>
    <w:rsid w:val="00434570"/>
    <w:rsid w:val="00435CF9"/>
    <w:rsid w:val="00435DA4"/>
    <w:rsid w:val="00437635"/>
    <w:rsid w:val="00440627"/>
    <w:rsid w:val="00440CE1"/>
    <w:rsid w:val="004414FA"/>
    <w:rsid w:val="00441B61"/>
    <w:rsid w:val="00441B85"/>
    <w:rsid w:val="00441BAF"/>
    <w:rsid w:val="00442149"/>
    <w:rsid w:val="004427FD"/>
    <w:rsid w:val="00443744"/>
    <w:rsid w:val="0044532D"/>
    <w:rsid w:val="00445E71"/>
    <w:rsid w:val="00446303"/>
    <w:rsid w:val="004463FB"/>
    <w:rsid w:val="004475BC"/>
    <w:rsid w:val="00451440"/>
    <w:rsid w:val="00452C75"/>
    <w:rsid w:val="00453514"/>
    <w:rsid w:val="00453AE0"/>
    <w:rsid w:val="00454031"/>
    <w:rsid w:val="00455CFF"/>
    <w:rsid w:val="00455F79"/>
    <w:rsid w:val="00457CFB"/>
    <w:rsid w:val="00460703"/>
    <w:rsid w:val="00462BB3"/>
    <w:rsid w:val="00462CB1"/>
    <w:rsid w:val="00463B70"/>
    <w:rsid w:val="00465830"/>
    <w:rsid w:val="00465ACF"/>
    <w:rsid w:val="00465B77"/>
    <w:rsid w:val="00466AAA"/>
    <w:rsid w:val="00466F16"/>
    <w:rsid w:val="00467552"/>
    <w:rsid w:val="00471677"/>
    <w:rsid w:val="00472A57"/>
    <w:rsid w:val="00472D55"/>
    <w:rsid w:val="00475431"/>
    <w:rsid w:val="00476515"/>
    <w:rsid w:val="00476BB9"/>
    <w:rsid w:val="004824A9"/>
    <w:rsid w:val="004835A4"/>
    <w:rsid w:val="004835A8"/>
    <w:rsid w:val="00483FDE"/>
    <w:rsid w:val="004846C3"/>
    <w:rsid w:val="004848A9"/>
    <w:rsid w:val="00484AC5"/>
    <w:rsid w:val="004860A6"/>
    <w:rsid w:val="004905CE"/>
    <w:rsid w:val="00490A3F"/>
    <w:rsid w:val="0049114E"/>
    <w:rsid w:val="00491EEB"/>
    <w:rsid w:val="00493810"/>
    <w:rsid w:val="00494DDF"/>
    <w:rsid w:val="00495046"/>
    <w:rsid w:val="004951EE"/>
    <w:rsid w:val="004952E5"/>
    <w:rsid w:val="004960DB"/>
    <w:rsid w:val="00497101"/>
    <w:rsid w:val="00497339"/>
    <w:rsid w:val="004A0489"/>
    <w:rsid w:val="004A0C57"/>
    <w:rsid w:val="004A28D8"/>
    <w:rsid w:val="004A345C"/>
    <w:rsid w:val="004A3EF9"/>
    <w:rsid w:val="004A541A"/>
    <w:rsid w:val="004A59DF"/>
    <w:rsid w:val="004A651D"/>
    <w:rsid w:val="004A734B"/>
    <w:rsid w:val="004B025D"/>
    <w:rsid w:val="004B028A"/>
    <w:rsid w:val="004B06F0"/>
    <w:rsid w:val="004B0DDD"/>
    <w:rsid w:val="004B0F15"/>
    <w:rsid w:val="004B1E80"/>
    <w:rsid w:val="004B2D98"/>
    <w:rsid w:val="004B4D57"/>
    <w:rsid w:val="004B7182"/>
    <w:rsid w:val="004B7A75"/>
    <w:rsid w:val="004C01F1"/>
    <w:rsid w:val="004C0ED1"/>
    <w:rsid w:val="004C1D3B"/>
    <w:rsid w:val="004C3261"/>
    <w:rsid w:val="004C3CF0"/>
    <w:rsid w:val="004C43C9"/>
    <w:rsid w:val="004C5068"/>
    <w:rsid w:val="004C5437"/>
    <w:rsid w:val="004C6181"/>
    <w:rsid w:val="004C6647"/>
    <w:rsid w:val="004C767D"/>
    <w:rsid w:val="004C7D78"/>
    <w:rsid w:val="004C7FDD"/>
    <w:rsid w:val="004D02C4"/>
    <w:rsid w:val="004D14E1"/>
    <w:rsid w:val="004D38AF"/>
    <w:rsid w:val="004D423D"/>
    <w:rsid w:val="004D43AA"/>
    <w:rsid w:val="004D48A0"/>
    <w:rsid w:val="004D4A7B"/>
    <w:rsid w:val="004D609A"/>
    <w:rsid w:val="004E1137"/>
    <w:rsid w:val="004E220A"/>
    <w:rsid w:val="004E2990"/>
    <w:rsid w:val="004E2FE8"/>
    <w:rsid w:val="004E30C8"/>
    <w:rsid w:val="004E40B6"/>
    <w:rsid w:val="004E4233"/>
    <w:rsid w:val="004E44B8"/>
    <w:rsid w:val="004E5037"/>
    <w:rsid w:val="004E5164"/>
    <w:rsid w:val="004E5185"/>
    <w:rsid w:val="004E5AA6"/>
    <w:rsid w:val="004E5CDB"/>
    <w:rsid w:val="004E5E22"/>
    <w:rsid w:val="004E5EE5"/>
    <w:rsid w:val="004E62DF"/>
    <w:rsid w:val="004E6407"/>
    <w:rsid w:val="004E64C6"/>
    <w:rsid w:val="004E67BA"/>
    <w:rsid w:val="004E7E7E"/>
    <w:rsid w:val="004F0293"/>
    <w:rsid w:val="004F0365"/>
    <w:rsid w:val="004F0F21"/>
    <w:rsid w:val="004F12BC"/>
    <w:rsid w:val="004F1A39"/>
    <w:rsid w:val="004F35ED"/>
    <w:rsid w:val="004F377C"/>
    <w:rsid w:val="004F3986"/>
    <w:rsid w:val="004F4652"/>
    <w:rsid w:val="004F555F"/>
    <w:rsid w:val="004F5BC4"/>
    <w:rsid w:val="0050051E"/>
    <w:rsid w:val="00500BB7"/>
    <w:rsid w:val="0050128B"/>
    <w:rsid w:val="005014CE"/>
    <w:rsid w:val="00502281"/>
    <w:rsid w:val="00502EA0"/>
    <w:rsid w:val="00504C5F"/>
    <w:rsid w:val="00505298"/>
    <w:rsid w:val="00505AD4"/>
    <w:rsid w:val="00505AE8"/>
    <w:rsid w:val="0050665D"/>
    <w:rsid w:val="00507AB5"/>
    <w:rsid w:val="00507AC0"/>
    <w:rsid w:val="005105EE"/>
    <w:rsid w:val="00510666"/>
    <w:rsid w:val="00510855"/>
    <w:rsid w:val="00511191"/>
    <w:rsid w:val="005127AD"/>
    <w:rsid w:val="0051309D"/>
    <w:rsid w:val="005168FA"/>
    <w:rsid w:val="00516CEC"/>
    <w:rsid w:val="00517589"/>
    <w:rsid w:val="00520CDA"/>
    <w:rsid w:val="00522623"/>
    <w:rsid w:val="00523449"/>
    <w:rsid w:val="005256AD"/>
    <w:rsid w:val="00525728"/>
    <w:rsid w:val="00525B0F"/>
    <w:rsid w:val="00525F86"/>
    <w:rsid w:val="00526EC1"/>
    <w:rsid w:val="0052713C"/>
    <w:rsid w:val="0052746F"/>
    <w:rsid w:val="00530C37"/>
    <w:rsid w:val="00530CEA"/>
    <w:rsid w:val="00531139"/>
    <w:rsid w:val="00531916"/>
    <w:rsid w:val="0053270D"/>
    <w:rsid w:val="00532A87"/>
    <w:rsid w:val="00534E76"/>
    <w:rsid w:val="005351DB"/>
    <w:rsid w:val="0053537F"/>
    <w:rsid w:val="00535DAE"/>
    <w:rsid w:val="005371F6"/>
    <w:rsid w:val="00537E9D"/>
    <w:rsid w:val="00540020"/>
    <w:rsid w:val="00541719"/>
    <w:rsid w:val="00541932"/>
    <w:rsid w:val="005428FE"/>
    <w:rsid w:val="00543241"/>
    <w:rsid w:val="005472FD"/>
    <w:rsid w:val="00552242"/>
    <w:rsid w:val="005539AE"/>
    <w:rsid w:val="00556A35"/>
    <w:rsid w:val="0055785C"/>
    <w:rsid w:val="00557957"/>
    <w:rsid w:val="00561F1A"/>
    <w:rsid w:val="005663C9"/>
    <w:rsid w:val="00567B37"/>
    <w:rsid w:val="00570E86"/>
    <w:rsid w:val="00573912"/>
    <w:rsid w:val="00574608"/>
    <w:rsid w:val="0057505C"/>
    <w:rsid w:val="00576899"/>
    <w:rsid w:val="005801DD"/>
    <w:rsid w:val="00580701"/>
    <w:rsid w:val="0058130E"/>
    <w:rsid w:val="00581E5A"/>
    <w:rsid w:val="00583478"/>
    <w:rsid w:val="0058460E"/>
    <w:rsid w:val="00585BE0"/>
    <w:rsid w:val="00586996"/>
    <w:rsid w:val="00591083"/>
    <w:rsid w:val="005933A9"/>
    <w:rsid w:val="00593B21"/>
    <w:rsid w:val="00593BC7"/>
    <w:rsid w:val="00594DB7"/>
    <w:rsid w:val="00594E99"/>
    <w:rsid w:val="00595113"/>
    <w:rsid w:val="00595E3A"/>
    <w:rsid w:val="00596DDA"/>
    <w:rsid w:val="0059760B"/>
    <w:rsid w:val="00597F40"/>
    <w:rsid w:val="00597FC1"/>
    <w:rsid w:val="005A06CD"/>
    <w:rsid w:val="005A0D57"/>
    <w:rsid w:val="005A15F4"/>
    <w:rsid w:val="005A208D"/>
    <w:rsid w:val="005A3919"/>
    <w:rsid w:val="005A4A29"/>
    <w:rsid w:val="005A5869"/>
    <w:rsid w:val="005A58EB"/>
    <w:rsid w:val="005A5DDC"/>
    <w:rsid w:val="005A6027"/>
    <w:rsid w:val="005A6181"/>
    <w:rsid w:val="005A636B"/>
    <w:rsid w:val="005B0F0C"/>
    <w:rsid w:val="005B1874"/>
    <w:rsid w:val="005B2710"/>
    <w:rsid w:val="005B3DD1"/>
    <w:rsid w:val="005B470F"/>
    <w:rsid w:val="005B728B"/>
    <w:rsid w:val="005B79C7"/>
    <w:rsid w:val="005C2A25"/>
    <w:rsid w:val="005C4860"/>
    <w:rsid w:val="005C5537"/>
    <w:rsid w:val="005C59F5"/>
    <w:rsid w:val="005C5CDA"/>
    <w:rsid w:val="005C5D61"/>
    <w:rsid w:val="005D015A"/>
    <w:rsid w:val="005D143B"/>
    <w:rsid w:val="005D1460"/>
    <w:rsid w:val="005D176D"/>
    <w:rsid w:val="005D2ACF"/>
    <w:rsid w:val="005D35C6"/>
    <w:rsid w:val="005D3E81"/>
    <w:rsid w:val="005D4C06"/>
    <w:rsid w:val="005D4FA1"/>
    <w:rsid w:val="005D5A4A"/>
    <w:rsid w:val="005D6B3D"/>
    <w:rsid w:val="005D76C1"/>
    <w:rsid w:val="005D7F7D"/>
    <w:rsid w:val="005E0B57"/>
    <w:rsid w:val="005E0C32"/>
    <w:rsid w:val="005E17A3"/>
    <w:rsid w:val="005E1C7D"/>
    <w:rsid w:val="005E2C4D"/>
    <w:rsid w:val="005E35FA"/>
    <w:rsid w:val="005E4194"/>
    <w:rsid w:val="005E7102"/>
    <w:rsid w:val="005E7D9A"/>
    <w:rsid w:val="005E7F91"/>
    <w:rsid w:val="005F03B4"/>
    <w:rsid w:val="005F09A7"/>
    <w:rsid w:val="005F0A34"/>
    <w:rsid w:val="005F2793"/>
    <w:rsid w:val="005F2C49"/>
    <w:rsid w:val="005F5F7F"/>
    <w:rsid w:val="00601951"/>
    <w:rsid w:val="006022EE"/>
    <w:rsid w:val="00602F44"/>
    <w:rsid w:val="006031F7"/>
    <w:rsid w:val="006037A9"/>
    <w:rsid w:val="0060421D"/>
    <w:rsid w:val="006049D6"/>
    <w:rsid w:val="00604D07"/>
    <w:rsid w:val="006054B6"/>
    <w:rsid w:val="0060595E"/>
    <w:rsid w:val="006060C1"/>
    <w:rsid w:val="00607326"/>
    <w:rsid w:val="00607B29"/>
    <w:rsid w:val="00610A4D"/>
    <w:rsid w:val="00610A6A"/>
    <w:rsid w:val="00610BA8"/>
    <w:rsid w:val="006128E0"/>
    <w:rsid w:val="00612FB8"/>
    <w:rsid w:val="00613060"/>
    <w:rsid w:val="006138BE"/>
    <w:rsid w:val="00613B24"/>
    <w:rsid w:val="00613BDD"/>
    <w:rsid w:val="00616778"/>
    <w:rsid w:val="00617380"/>
    <w:rsid w:val="006173E3"/>
    <w:rsid w:val="00617DB4"/>
    <w:rsid w:val="00620E9A"/>
    <w:rsid w:val="006216FC"/>
    <w:rsid w:val="00621972"/>
    <w:rsid w:val="00621CA2"/>
    <w:rsid w:val="00621E18"/>
    <w:rsid w:val="006220F6"/>
    <w:rsid w:val="00622488"/>
    <w:rsid w:val="006231D8"/>
    <w:rsid w:val="00623558"/>
    <w:rsid w:val="00624162"/>
    <w:rsid w:val="00624210"/>
    <w:rsid w:val="006242FF"/>
    <w:rsid w:val="006275C7"/>
    <w:rsid w:val="00627DE5"/>
    <w:rsid w:val="006321C3"/>
    <w:rsid w:val="006335BF"/>
    <w:rsid w:val="006337A5"/>
    <w:rsid w:val="006344F9"/>
    <w:rsid w:val="00634A7D"/>
    <w:rsid w:val="00634C68"/>
    <w:rsid w:val="006351F0"/>
    <w:rsid w:val="00635FF6"/>
    <w:rsid w:val="006371FB"/>
    <w:rsid w:val="00637C12"/>
    <w:rsid w:val="00640293"/>
    <w:rsid w:val="00640431"/>
    <w:rsid w:val="0064103E"/>
    <w:rsid w:val="0064121B"/>
    <w:rsid w:val="00643102"/>
    <w:rsid w:val="00643F73"/>
    <w:rsid w:val="0064602C"/>
    <w:rsid w:val="00650EC2"/>
    <w:rsid w:val="00650F36"/>
    <w:rsid w:val="00652834"/>
    <w:rsid w:val="00652C45"/>
    <w:rsid w:val="00654EDB"/>
    <w:rsid w:val="006554FB"/>
    <w:rsid w:val="00656B60"/>
    <w:rsid w:val="00657CBD"/>
    <w:rsid w:val="0066070D"/>
    <w:rsid w:val="00661668"/>
    <w:rsid w:val="006616FF"/>
    <w:rsid w:val="00662063"/>
    <w:rsid w:val="00663D32"/>
    <w:rsid w:val="00664053"/>
    <w:rsid w:val="006666BC"/>
    <w:rsid w:val="006711A4"/>
    <w:rsid w:val="00671706"/>
    <w:rsid w:val="00671E26"/>
    <w:rsid w:val="00673BD0"/>
    <w:rsid w:val="006740A9"/>
    <w:rsid w:val="00675D60"/>
    <w:rsid w:val="00676209"/>
    <w:rsid w:val="0067749A"/>
    <w:rsid w:val="006776C3"/>
    <w:rsid w:val="006776E7"/>
    <w:rsid w:val="00677B3E"/>
    <w:rsid w:val="00681B3B"/>
    <w:rsid w:val="00682C85"/>
    <w:rsid w:val="00684473"/>
    <w:rsid w:val="006844D1"/>
    <w:rsid w:val="006848F2"/>
    <w:rsid w:val="00684AC2"/>
    <w:rsid w:val="006867E9"/>
    <w:rsid w:val="00687D7D"/>
    <w:rsid w:val="00690DA3"/>
    <w:rsid w:val="00691FBD"/>
    <w:rsid w:val="00692983"/>
    <w:rsid w:val="00693A07"/>
    <w:rsid w:val="00693EB1"/>
    <w:rsid w:val="00694DA4"/>
    <w:rsid w:val="00697252"/>
    <w:rsid w:val="00697915"/>
    <w:rsid w:val="00697978"/>
    <w:rsid w:val="00697F37"/>
    <w:rsid w:val="006A01E3"/>
    <w:rsid w:val="006A19A2"/>
    <w:rsid w:val="006A2F2C"/>
    <w:rsid w:val="006A4DB1"/>
    <w:rsid w:val="006A5857"/>
    <w:rsid w:val="006A5934"/>
    <w:rsid w:val="006A5F49"/>
    <w:rsid w:val="006A70F4"/>
    <w:rsid w:val="006A7BED"/>
    <w:rsid w:val="006B0800"/>
    <w:rsid w:val="006B1022"/>
    <w:rsid w:val="006B1905"/>
    <w:rsid w:val="006B1F14"/>
    <w:rsid w:val="006B3A94"/>
    <w:rsid w:val="006B51DD"/>
    <w:rsid w:val="006B634B"/>
    <w:rsid w:val="006B6525"/>
    <w:rsid w:val="006B69AB"/>
    <w:rsid w:val="006B7147"/>
    <w:rsid w:val="006C3D27"/>
    <w:rsid w:val="006C3FBE"/>
    <w:rsid w:val="006C4ACA"/>
    <w:rsid w:val="006C6D92"/>
    <w:rsid w:val="006C71D4"/>
    <w:rsid w:val="006D11EB"/>
    <w:rsid w:val="006D2381"/>
    <w:rsid w:val="006D269B"/>
    <w:rsid w:val="006D2C0C"/>
    <w:rsid w:val="006D2CC1"/>
    <w:rsid w:val="006D3E27"/>
    <w:rsid w:val="006D466B"/>
    <w:rsid w:val="006D6B2F"/>
    <w:rsid w:val="006D7450"/>
    <w:rsid w:val="006D75AF"/>
    <w:rsid w:val="006E0476"/>
    <w:rsid w:val="006E28B6"/>
    <w:rsid w:val="006E3127"/>
    <w:rsid w:val="006E4C77"/>
    <w:rsid w:val="006E548A"/>
    <w:rsid w:val="006E55DE"/>
    <w:rsid w:val="006E79B8"/>
    <w:rsid w:val="006F0164"/>
    <w:rsid w:val="006F1B38"/>
    <w:rsid w:val="006F3739"/>
    <w:rsid w:val="006F45F3"/>
    <w:rsid w:val="006F4736"/>
    <w:rsid w:val="006F4B24"/>
    <w:rsid w:val="006F4D07"/>
    <w:rsid w:val="006F514C"/>
    <w:rsid w:val="006F56EA"/>
    <w:rsid w:val="006F5707"/>
    <w:rsid w:val="006F5A23"/>
    <w:rsid w:val="006F6C0A"/>
    <w:rsid w:val="00700B9F"/>
    <w:rsid w:val="0070129B"/>
    <w:rsid w:val="00701BA4"/>
    <w:rsid w:val="00702667"/>
    <w:rsid w:val="007038C9"/>
    <w:rsid w:val="00703971"/>
    <w:rsid w:val="007042B6"/>
    <w:rsid w:val="00705D05"/>
    <w:rsid w:val="007061F6"/>
    <w:rsid w:val="007068B0"/>
    <w:rsid w:val="007072F7"/>
    <w:rsid w:val="007107FD"/>
    <w:rsid w:val="00711F07"/>
    <w:rsid w:val="00712A0B"/>
    <w:rsid w:val="00713F04"/>
    <w:rsid w:val="00714499"/>
    <w:rsid w:val="007153BD"/>
    <w:rsid w:val="0071549E"/>
    <w:rsid w:val="007159C2"/>
    <w:rsid w:val="00717006"/>
    <w:rsid w:val="0071737E"/>
    <w:rsid w:val="00717F5D"/>
    <w:rsid w:val="00717FAC"/>
    <w:rsid w:val="00721C98"/>
    <w:rsid w:val="00722BB0"/>
    <w:rsid w:val="00723997"/>
    <w:rsid w:val="007254B2"/>
    <w:rsid w:val="00726CB4"/>
    <w:rsid w:val="00727CA2"/>
    <w:rsid w:val="00730BE6"/>
    <w:rsid w:val="007317AD"/>
    <w:rsid w:val="00732386"/>
    <w:rsid w:val="00732719"/>
    <w:rsid w:val="00732770"/>
    <w:rsid w:val="00732EF4"/>
    <w:rsid w:val="00733782"/>
    <w:rsid w:val="00733FCF"/>
    <w:rsid w:val="00734295"/>
    <w:rsid w:val="00734FA9"/>
    <w:rsid w:val="0073536F"/>
    <w:rsid w:val="0073614F"/>
    <w:rsid w:val="00736BAD"/>
    <w:rsid w:val="00737CA7"/>
    <w:rsid w:val="0074116E"/>
    <w:rsid w:val="00742863"/>
    <w:rsid w:val="00743B8C"/>
    <w:rsid w:val="00744648"/>
    <w:rsid w:val="00744903"/>
    <w:rsid w:val="00745B49"/>
    <w:rsid w:val="007472A1"/>
    <w:rsid w:val="0074776F"/>
    <w:rsid w:val="00747CD1"/>
    <w:rsid w:val="00750BFC"/>
    <w:rsid w:val="0075167C"/>
    <w:rsid w:val="00752092"/>
    <w:rsid w:val="00753293"/>
    <w:rsid w:val="00754321"/>
    <w:rsid w:val="0075546F"/>
    <w:rsid w:val="007565C5"/>
    <w:rsid w:val="00760D50"/>
    <w:rsid w:val="00762051"/>
    <w:rsid w:val="007627F4"/>
    <w:rsid w:val="00762EDC"/>
    <w:rsid w:val="00763461"/>
    <w:rsid w:val="00763BD6"/>
    <w:rsid w:val="00765A6F"/>
    <w:rsid w:val="00765E69"/>
    <w:rsid w:val="007668A3"/>
    <w:rsid w:val="00766928"/>
    <w:rsid w:val="00766B4B"/>
    <w:rsid w:val="00767B9F"/>
    <w:rsid w:val="007712CD"/>
    <w:rsid w:val="00772377"/>
    <w:rsid w:val="007742B0"/>
    <w:rsid w:val="0077604B"/>
    <w:rsid w:val="00776344"/>
    <w:rsid w:val="00776443"/>
    <w:rsid w:val="00777A41"/>
    <w:rsid w:val="00777C58"/>
    <w:rsid w:val="007801A1"/>
    <w:rsid w:val="007811EF"/>
    <w:rsid w:val="00781E9D"/>
    <w:rsid w:val="00781F5D"/>
    <w:rsid w:val="0078237B"/>
    <w:rsid w:val="00782F0B"/>
    <w:rsid w:val="0078416C"/>
    <w:rsid w:val="007841FF"/>
    <w:rsid w:val="0078427B"/>
    <w:rsid w:val="007847CF"/>
    <w:rsid w:val="0078572C"/>
    <w:rsid w:val="00787478"/>
    <w:rsid w:val="00792323"/>
    <w:rsid w:val="007925A2"/>
    <w:rsid w:val="007926F4"/>
    <w:rsid w:val="00792FD6"/>
    <w:rsid w:val="00794542"/>
    <w:rsid w:val="0079495D"/>
    <w:rsid w:val="0079499F"/>
    <w:rsid w:val="00794F05"/>
    <w:rsid w:val="0079519B"/>
    <w:rsid w:val="00796D98"/>
    <w:rsid w:val="0079772D"/>
    <w:rsid w:val="00797B09"/>
    <w:rsid w:val="00797BAE"/>
    <w:rsid w:val="007A0849"/>
    <w:rsid w:val="007A0DB7"/>
    <w:rsid w:val="007A2823"/>
    <w:rsid w:val="007A3056"/>
    <w:rsid w:val="007A3839"/>
    <w:rsid w:val="007A441B"/>
    <w:rsid w:val="007A538D"/>
    <w:rsid w:val="007A5412"/>
    <w:rsid w:val="007A6326"/>
    <w:rsid w:val="007A7611"/>
    <w:rsid w:val="007B142A"/>
    <w:rsid w:val="007B20A9"/>
    <w:rsid w:val="007B2675"/>
    <w:rsid w:val="007B2A80"/>
    <w:rsid w:val="007B3E75"/>
    <w:rsid w:val="007B4323"/>
    <w:rsid w:val="007B5DB7"/>
    <w:rsid w:val="007B6DCF"/>
    <w:rsid w:val="007C0DAC"/>
    <w:rsid w:val="007C255E"/>
    <w:rsid w:val="007C29AC"/>
    <w:rsid w:val="007C3383"/>
    <w:rsid w:val="007C4282"/>
    <w:rsid w:val="007C5574"/>
    <w:rsid w:val="007C68F1"/>
    <w:rsid w:val="007D1DD1"/>
    <w:rsid w:val="007D2BA3"/>
    <w:rsid w:val="007D31B4"/>
    <w:rsid w:val="007D7BDF"/>
    <w:rsid w:val="007E0529"/>
    <w:rsid w:val="007E0AFD"/>
    <w:rsid w:val="007E2196"/>
    <w:rsid w:val="007E2730"/>
    <w:rsid w:val="007E2EF6"/>
    <w:rsid w:val="007E2EFC"/>
    <w:rsid w:val="007E3FEC"/>
    <w:rsid w:val="007E43EE"/>
    <w:rsid w:val="007E592A"/>
    <w:rsid w:val="007E5BE6"/>
    <w:rsid w:val="007E6B0C"/>
    <w:rsid w:val="007F027A"/>
    <w:rsid w:val="007F0503"/>
    <w:rsid w:val="007F3A50"/>
    <w:rsid w:val="007F4F02"/>
    <w:rsid w:val="007F53F2"/>
    <w:rsid w:val="007F645A"/>
    <w:rsid w:val="007F6562"/>
    <w:rsid w:val="007F6B8C"/>
    <w:rsid w:val="007F707C"/>
    <w:rsid w:val="007F736B"/>
    <w:rsid w:val="007F750B"/>
    <w:rsid w:val="008008E7"/>
    <w:rsid w:val="00800CCC"/>
    <w:rsid w:val="00801080"/>
    <w:rsid w:val="008011F1"/>
    <w:rsid w:val="00801C40"/>
    <w:rsid w:val="00805320"/>
    <w:rsid w:val="00806CE0"/>
    <w:rsid w:val="00806D01"/>
    <w:rsid w:val="00806FC0"/>
    <w:rsid w:val="008073E7"/>
    <w:rsid w:val="00807D6D"/>
    <w:rsid w:val="008103B8"/>
    <w:rsid w:val="00810A9E"/>
    <w:rsid w:val="00811E99"/>
    <w:rsid w:val="0081256C"/>
    <w:rsid w:val="00812C3E"/>
    <w:rsid w:val="00814A70"/>
    <w:rsid w:val="008152D1"/>
    <w:rsid w:val="00815788"/>
    <w:rsid w:val="008163E8"/>
    <w:rsid w:val="00816583"/>
    <w:rsid w:val="00816A59"/>
    <w:rsid w:val="00820426"/>
    <w:rsid w:val="0082166C"/>
    <w:rsid w:val="00821DFB"/>
    <w:rsid w:val="00821F12"/>
    <w:rsid w:val="00822B93"/>
    <w:rsid w:val="00823E7F"/>
    <w:rsid w:val="00824BF6"/>
    <w:rsid w:val="00824C94"/>
    <w:rsid w:val="00824DAC"/>
    <w:rsid w:val="0082539C"/>
    <w:rsid w:val="00826138"/>
    <w:rsid w:val="00826578"/>
    <w:rsid w:val="00826850"/>
    <w:rsid w:val="00827174"/>
    <w:rsid w:val="00827577"/>
    <w:rsid w:val="00830E93"/>
    <w:rsid w:val="00830F17"/>
    <w:rsid w:val="00830FA6"/>
    <w:rsid w:val="00831C15"/>
    <w:rsid w:val="00833586"/>
    <w:rsid w:val="008351A6"/>
    <w:rsid w:val="00836213"/>
    <w:rsid w:val="008366B0"/>
    <w:rsid w:val="00836984"/>
    <w:rsid w:val="00837381"/>
    <w:rsid w:val="008404A0"/>
    <w:rsid w:val="008414B8"/>
    <w:rsid w:val="00841B11"/>
    <w:rsid w:val="008432D3"/>
    <w:rsid w:val="00846320"/>
    <w:rsid w:val="0084688D"/>
    <w:rsid w:val="008475F9"/>
    <w:rsid w:val="00847FC3"/>
    <w:rsid w:val="0085005C"/>
    <w:rsid w:val="00851662"/>
    <w:rsid w:val="008532DF"/>
    <w:rsid w:val="0085390A"/>
    <w:rsid w:val="00853D12"/>
    <w:rsid w:val="00855742"/>
    <w:rsid w:val="00855B2A"/>
    <w:rsid w:val="00856FF2"/>
    <w:rsid w:val="00857499"/>
    <w:rsid w:val="00860227"/>
    <w:rsid w:val="00860800"/>
    <w:rsid w:val="00860E25"/>
    <w:rsid w:val="00861588"/>
    <w:rsid w:val="008625C1"/>
    <w:rsid w:val="00862B92"/>
    <w:rsid w:val="0086329C"/>
    <w:rsid w:val="00863C52"/>
    <w:rsid w:val="008652AC"/>
    <w:rsid w:val="008656AF"/>
    <w:rsid w:val="008657E4"/>
    <w:rsid w:val="00866AEC"/>
    <w:rsid w:val="008670F9"/>
    <w:rsid w:val="00867F8E"/>
    <w:rsid w:val="00870057"/>
    <w:rsid w:val="00871E11"/>
    <w:rsid w:val="008742FF"/>
    <w:rsid w:val="00875FAA"/>
    <w:rsid w:val="00876CFA"/>
    <w:rsid w:val="00876E7C"/>
    <w:rsid w:val="00877024"/>
    <w:rsid w:val="008774CF"/>
    <w:rsid w:val="00881463"/>
    <w:rsid w:val="008816E6"/>
    <w:rsid w:val="00883756"/>
    <w:rsid w:val="00883F9E"/>
    <w:rsid w:val="00885945"/>
    <w:rsid w:val="008868DD"/>
    <w:rsid w:val="008909D9"/>
    <w:rsid w:val="008931F9"/>
    <w:rsid w:val="00893BD1"/>
    <w:rsid w:val="00893DA7"/>
    <w:rsid w:val="0089466B"/>
    <w:rsid w:val="008955ED"/>
    <w:rsid w:val="00897F74"/>
    <w:rsid w:val="008A0B0B"/>
    <w:rsid w:val="008A1E0C"/>
    <w:rsid w:val="008A1E60"/>
    <w:rsid w:val="008A26E3"/>
    <w:rsid w:val="008A3BBA"/>
    <w:rsid w:val="008A4572"/>
    <w:rsid w:val="008A6C13"/>
    <w:rsid w:val="008B1435"/>
    <w:rsid w:val="008B2BBA"/>
    <w:rsid w:val="008B370D"/>
    <w:rsid w:val="008B4A5A"/>
    <w:rsid w:val="008B5D9D"/>
    <w:rsid w:val="008B6E7C"/>
    <w:rsid w:val="008B7DF8"/>
    <w:rsid w:val="008C24D8"/>
    <w:rsid w:val="008C3B12"/>
    <w:rsid w:val="008C41AF"/>
    <w:rsid w:val="008C4E64"/>
    <w:rsid w:val="008C61D6"/>
    <w:rsid w:val="008C6ABD"/>
    <w:rsid w:val="008C7545"/>
    <w:rsid w:val="008C7D37"/>
    <w:rsid w:val="008C7DCF"/>
    <w:rsid w:val="008D034E"/>
    <w:rsid w:val="008D1166"/>
    <w:rsid w:val="008D14E6"/>
    <w:rsid w:val="008D2B6D"/>
    <w:rsid w:val="008D2E5C"/>
    <w:rsid w:val="008D40F9"/>
    <w:rsid w:val="008E04CE"/>
    <w:rsid w:val="008E0676"/>
    <w:rsid w:val="008E13FD"/>
    <w:rsid w:val="008E2409"/>
    <w:rsid w:val="008E2EED"/>
    <w:rsid w:val="008E3578"/>
    <w:rsid w:val="008E3D77"/>
    <w:rsid w:val="008E4145"/>
    <w:rsid w:val="008E4C71"/>
    <w:rsid w:val="008E581C"/>
    <w:rsid w:val="008E7091"/>
    <w:rsid w:val="008E74AB"/>
    <w:rsid w:val="008E75F7"/>
    <w:rsid w:val="008F2F42"/>
    <w:rsid w:val="008F32A9"/>
    <w:rsid w:val="008F64DC"/>
    <w:rsid w:val="008F687A"/>
    <w:rsid w:val="008F7CBF"/>
    <w:rsid w:val="008F7E14"/>
    <w:rsid w:val="009020DE"/>
    <w:rsid w:val="009028B7"/>
    <w:rsid w:val="00902FBC"/>
    <w:rsid w:val="009031A8"/>
    <w:rsid w:val="009031E9"/>
    <w:rsid w:val="009038CF"/>
    <w:rsid w:val="00903A91"/>
    <w:rsid w:val="00903C9D"/>
    <w:rsid w:val="00905886"/>
    <w:rsid w:val="0090630B"/>
    <w:rsid w:val="00906406"/>
    <w:rsid w:val="009070D7"/>
    <w:rsid w:val="009070F2"/>
    <w:rsid w:val="00907E8B"/>
    <w:rsid w:val="00910247"/>
    <w:rsid w:val="0091049B"/>
    <w:rsid w:val="009104C2"/>
    <w:rsid w:val="00911632"/>
    <w:rsid w:val="0091185D"/>
    <w:rsid w:val="00912947"/>
    <w:rsid w:val="00913B27"/>
    <w:rsid w:val="00913BB9"/>
    <w:rsid w:val="009154A3"/>
    <w:rsid w:val="00917970"/>
    <w:rsid w:val="00921694"/>
    <w:rsid w:val="0092270E"/>
    <w:rsid w:val="00924653"/>
    <w:rsid w:val="009249DD"/>
    <w:rsid w:val="00925661"/>
    <w:rsid w:val="00925B96"/>
    <w:rsid w:val="00925E65"/>
    <w:rsid w:val="00926EEC"/>
    <w:rsid w:val="00927795"/>
    <w:rsid w:val="00930D51"/>
    <w:rsid w:val="009316B9"/>
    <w:rsid w:val="00931C49"/>
    <w:rsid w:val="00933450"/>
    <w:rsid w:val="00934C8F"/>
    <w:rsid w:val="00935169"/>
    <w:rsid w:val="009372DF"/>
    <w:rsid w:val="00940846"/>
    <w:rsid w:val="00940934"/>
    <w:rsid w:val="00940D48"/>
    <w:rsid w:val="00941C9A"/>
    <w:rsid w:val="0094263A"/>
    <w:rsid w:val="00942C4E"/>
    <w:rsid w:val="00944557"/>
    <w:rsid w:val="00945263"/>
    <w:rsid w:val="00945388"/>
    <w:rsid w:val="00946CE6"/>
    <w:rsid w:val="00946FA8"/>
    <w:rsid w:val="009504F3"/>
    <w:rsid w:val="00950826"/>
    <w:rsid w:val="0095098C"/>
    <w:rsid w:val="00953A6B"/>
    <w:rsid w:val="0095527C"/>
    <w:rsid w:val="00955431"/>
    <w:rsid w:val="00955E77"/>
    <w:rsid w:val="00955F34"/>
    <w:rsid w:val="00956141"/>
    <w:rsid w:val="0095673A"/>
    <w:rsid w:val="00957571"/>
    <w:rsid w:val="009601FC"/>
    <w:rsid w:val="00961497"/>
    <w:rsid w:val="00961722"/>
    <w:rsid w:val="00962278"/>
    <w:rsid w:val="009622ED"/>
    <w:rsid w:val="009625FE"/>
    <w:rsid w:val="00962C32"/>
    <w:rsid w:val="00963DD7"/>
    <w:rsid w:val="00964EEB"/>
    <w:rsid w:val="00964F24"/>
    <w:rsid w:val="00965208"/>
    <w:rsid w:val="00966B25"/>
    <w:rsid w:val="00966B52"/>
    <w:rsid w:val="00971238"/>
    <w:rsid w:val="00972756"/>
    <w:rsid w:val="009741F5"/>
    <w:rsid w:val="009744E0"/>
    <w:rsid w:val="00976BA4"/>
    <w:rsid w:val="00976E1B"/>
    <w:rsid w:val="00977716"/>
    <w:rsid w:val="00977F7B"/>
    <w:rsid w:val="00980442"/>
    <w:rsid w:val="0098179E"/>
    <w:rsid w:val="00981A66"/>
    <w:rsid w:val="00981C7B"/>
    <w:rsid w:val="00983FE9"/>
    <w:rsid w:val="00985462"/>
    <w:rsid w:val="00985643"/>
    <w:rsid w:val="009856BD"/>
    <w:rsid w:val="00987568"/>
    <w:rsid w:val="00987AAE"/>
    <w:rsid w:val="00990315"/>
    <w:rsid w:val="009908C3"/>
    <w:rsid w:val="00990DDB"/>
    <w:rsid w:val="00992620"/>
    <w:rsid w:val="009936BA"/>
    <w:rsid w:val="00993A54"/>
    <w:rsid w:val="00996A3F"/>
    <w:rsid w:val="00997D5D"/>
    <w:rsid w:val="009A0A1B"/>
    <w:rsid w:val="009A14F5"/>
    <w:rsid w:val="009A3141"/>
    <w:rsid w:val="009A5DDF"/>
    <w:rsid w:val="009A7AAB"/>
    <w:rsid w:val="009B0B1B"/>
    <w:rsid w:val="009B1480"/>
    <w:rsid w:val="009B1E9B"/>
    <w:rsid w:val="009B292A"/>
    <w:rsid w:val="009B2D34"/>
    <w:rsid w:val="009B31E4"/>
    <w:rsid w:val="009B48E7"/>
    <w:rsid w:val="009B62F7"/>
    <w:rsid w:val="009B636B"/>
    <w:rsid w:val="009B66D6"/>
    <w:rsid w:val="009B7B47"/>
    <w:rsid w:val="009B7D1F"/>
    <w:rsid w:val="009B7F36"/>
    <w:rsid w:val="009B7FAF"/>
    <w:rsid w:val="009C03A6"/>
    <w:rsid w:val="009C03FF"/>
    <w:rsid w:val="009C09E6"/>
    <w:rsid w:val="009C16DD"/>
    <w:rsid w:val="009C2ED1"/>
    <w:rsid w:val="009C3099"/>
    <w:rsid w:val="009C40E9"/>
    <w:rsid w:val="009C4A9C"/>
    <w:rsid w:val="009C5339"/>
    <w:rsid w:val="009C6BAC"/>
    <w:rsid w:val="009C731C"/>
    <w:rsid w:val="009C7899"/>
    <w:rsid w:val="009D1D43"/>
    <w:rsid w:val="009D1E52"/>
    <w:rsid w:val="009D2024"/>
    <w:rsid w:val="009D2393"/>
    <w:rsid w:val="009D27EA"/>
    <w:rsid w:val="009D331A"/>
    <w:rsid w:val="009D420E"/>
    <w:rsid w:val="009D495C"/>
    <w:rsid w:val="009D54D2"/>
    <w:rsid w:val="009D705C"/>
    <w:rsid w:val="009D7FA2"/>
    <w:rsid w:val="009E02D5"/>
    <w:rsid w:val="009E124D"/>
    <w:rsid w:val="009E143E"/>
    <w:rsid w:val="009E168E"/>
    <w:rsid w:val="009E4605"/>
    <w:rsid w:val="009E4970"/>
    <w:rsid w:val="009E6162"/>
    <w:rsid w:val="009E6B57"/>
    <w:rsid w:val="009E714C"/>
    <w:rsid w:val="009E72C0"/>
    <w:rsid w:val="009F1C33"/>
    <w:rsid w:val="009F1E75"/>
    <w:rsid w:val="009F34DD"/>
    <w:rsid w:val="009F4DA4"/>
    <w:rsid w:val="009F5347"/>
    <w:rsid w:val="009F544A"/>
    <w:rsid w:val="009F6267"/>
    <w:rsid w:val="009F6649"/>
    <w:rsid w:val="009F6D1E"/>
    <w:rsid w:val="009F7E9C"/>
    <w:rsid w:val="00A007A7"/>
    <w:rsid w:val="00A01C07"/>
    <w:rsid w:val="00A01FA8"/>
    <w:rsid w:val="00A0336A"/>
    <w:rsid w:val="00A03E7F"/>
    <w:rsid w:val="00A04AD7"/>
    <w:rsid w:val="00A05244"/>
    <w:rsid w:val="00A06AEB"/>
    <w:rsid w:val="00A07839"/>
    <w:rsid w:val="00A07B22"/>
    <w:rsid w:val="00A11E24"/>
    <w:rsid w:val="00A1301E"/>
    <w:rsid w:val="00A13414"/>
    <w:rsid w:val="00A13474"/>
    <w:rsid w:val="00A13B3B"/>
    <w:rsid w:val="00A13BD7"/>
    <w:rsid w:val="00A13C6F"/>
    <w:rsid w:val="00A143E2"/>
    <w:rsid w:val="00A153A4"/>
    <w:rsid w:val="00A20316"/>
    <w:rsid w:val="00A2118F"/>
    <w:rsid w:val="00A2204F"/>
    <w:rsid w:val="00A22B0A"/>
    <w:rsid w:val="00A2350A"/>
    <w:rsid w:val="00A23BBA"/>
    <w:rsid w:val="00A24754"/>
    <w:rsid w:val="00A266CE"/>
    <w:rsid w:val="00A268CB"/>
    <w:rsid w:val="00A27542"/>
    <w:rsid w:val="00A30301"/>
    <w:rsid w:val="00A34579"/>
    <w:rsid w:val="00A35F13"/>
    <w:rsid w:val="00A424BE"/>
    <w:rsid w:val="00A42C82"/>
    <w:rsid w:val="00A42F6A"/>
    <w:rsid w:val="00A434B9"/>
    <w:rsid w:val="00A43813"/>
    <w:rsid w:val="00A43970"/>
    <w:rsid w:val="00A4509C"/>
    <w:rsid w:val="00A455BB"/>
    <w:rsid w:val="00A50225"/>
    <w:rsid w:val="00A507E2"/>
    <w:rsid w:val="00A50B40"/>
    <w:rsid w:val="00A525A3"/>
    <w:rsid w:val="00A52891"/>
    <w:rsid w:val="00A529FD"/>
    <w:rsid w:val="00A5322E"/>
    <w:rsid w:val="00A53A8D"/>
    <w:rsid w:val="00A54CC8"/>
    <w:rsid w:val="00A55D87"/>
    <w:rsid w:val="00A55E44"/>
    <w:rsid w:val="00A5780A"/>
    <w:rsid w:val="00A60065"/>
    <w:rsid w:val="00A613E2"/>
    <w:rsid w:val="00A62ACF"/>
    <w:rsid w:val="00A62C83"/>
    <w:rsid w:val="00A637F2"/>
    <w:rsid w:val="00A661A3"/>
    <w:rsid w:val="00A6701F"/>
    <w:rsid w:val="00A70361"/>
    <w:rsid w:val="00A70AB7"/>
    <w:rsid w:val="00A714AF"/>
    <w:rsid w:val="00A72526"/>
    <w:rsid w:val="00A72B6E"/>
    <w:rsid w:val="00A738C4"/>
    <w:rsid w:val="00A75B1B"/>
    <w:rsid w:val="00A76036"/>
    <w:rsid w:val="00A77DDE"/>
    <w:rsid w:val="00A804C0"/>
    <w:rsid w:val="00A80C3A"/>
    <w:rsid w:val="00A8210B"/>
    <w:rsid w:val="00A8231D"/>
    <w:rsid w:val="00A8282C"/>
    <w:rsid w:val="00A8369F"/>
    <w:rsid w:val="00A8394C"/>
    <w:rsid w:val="00A83C3B"/>
    <w:rsid w:val="00A83CFF"/>
    <w:rsid w:val="00A83DBC"/>
    <w:rsid w:val="00A84ABB"/>
    <w:rsid w:val="00A85A51"/>
    <w:rsid w:val="00A864E0"/>
    <w:rsid w:val="00A87253"/>
    <w:rsid w:val="00A90410"/>
    <w:rsid w:val="00A90F95"/>
    <w:rsid w:val="00A91CC3"/>
    <w:rsid w:val="00A91EA9"/>
    <w:rsid w:val="00A927F1"/>
    <w:rsid w:val="00A9432B"/>
    <w:rsid w:val="00A948DC"/>
    <w:rsid w:val="00A950FF"/>
    <w:rsid w:val="00A95DF7"/>
    <w:rsid w:val="00A95E73"/>
    <w:rsid w:val="00AA0CBB"/>
    <w:rsid w:val="00AA13E4"/>
    <w:rsid w:val="00AA14A7"/>
    <w:rsid w:val="00AA195A"/>
    <w:rsid w:val="00AA4576"/>
    <w:rsid w:val="00AA4705"/>
    <w:rsid w:val="00AA6BA3"/>
    <w:rsid w:val="00AA6E3F"/>
    <w:rsid w:val="00AB0A24"/>
    <w:rsid w:val="00AB13F9"/>
    <w:rsid w:val="00AB1DF4"/>
    <w:rsid w:val="00AB2950"/>
    <w:rsid w:val="00AB3A23"/>
    <w:rsid w:val="00AB3A8D"/>
    <w:rsid w:val="00AB5082"/>
    <w:rsid w:val="00AB51DD"/>
    <w:rsid w:val="00AB533B"/>
    <w:rsid w:val="00AB55FF"/>
    <w:rsid w:val="00AB69BF"/>
    <w:rsid w:val="00AB7B38"/>
    <w:rsid w:val="00AB7EDE"/>
    <w:rsid w:val="00AC01C2"/>
    <w:rsid w:val="00AC0A43"/>
    <w:rsid w:val="00AC20ED"/>
    <w:rsid w:val="00AC2D02"/>
    <w:rsid w:val="00AC4610"/>
    <w:rsid w:val="00AC500C"/>
    <w:rsid w:val="00AC58C5"/>
    <w:rsid w:val="00AC6A99"/>
    <w:rsid w:val="00AC6DA8"/>
    <w:rsid w:val="00AC794A"/>
    <w:rsid w:val="00AC79C5"/>
    <w:rsid w:val="00AD080D"/>
    <w:rsid w:val="00AD0F0A"/>
    <w:rsid w:val="00AD1476"/>
    <w:rsid w:val="00AD28F4"/>
    <w:rsid w:val="00AD2E4D"/>
    <w:rsid w:val="00AD6E9F"/>
    <w:rsid w:val="00AD7A5D"/>
    <w:rsid w:val="00AE031C"/>
    <w:rsid w:val="00AE04D6"/>
    <w:rsid w:val="00AE0935"/>
    <w:rsid w:val="00AE0C09"/>
    <w:rsid w:val="00AE0EE8"/>
    <w:rsid w:val="00AE18D5"/>
    <w:rsid w:val="00AE1DB0"/>
    <w:rsid w:val="00AE27B1"/>
    <w:rsid w:val="00AE5345"/>
    <w:rsid w:val="00AE7E08"/>
    <w:rsid w:val="00AF29DE"/>
    <w:rsid w:val="00AF3638"/>
    <w:rsid w:val="00AF5705"/>
    <w:rsid w:val="00B01BAE"/>
    <w:rsid w:val="00B04A05"/>
    <w:rsid w:val="00B04E67"/>
    <w:rsid w:val="00B11F81"/>
    <w:rsid w:val="00B12C4F"/>
    <w:rsid w:val="00B12E69"/>
    <w:rsid w:val="00B13368"/>
    <w:rsid w:val="00B14FFE"/>
    <w:rsid w:val="00B15447"/>
    <w:rsid w:val="00B16B68"/>
    <w:rsid w:val="00B174E1"/>
    <w:rsid w:val="00B20987"/>
    <w:rsid w:val="00B214F5"/>
    <w:rsid w:val="00B22008"/>
    <w:rsid w:val="00B23260"/>
    <w:rsid w:val="00B237DE"/>
    <w:rsid w:val="00B26283"/>
    <w:rsid w:val="00B263F6"/>
    <w:rsid w:val="00B273AD"/>
    <w:rsid w:val="00B30002"/>
    <w:rsid w:val="00B31A25"/>
    <w:rsid w:val="00B33A87"/>
    <w:rsid w:val="00B34217"/>
    <w:rsid w:val="00B34677"/>
    <w:rsid w:val="00B350BC"/>
    <w:rsid w:val="00B35764"/>
    <w:rsid w:val="00B36556"/>
    <w:rsid w:val="00B36765"/>
    <w:rsid w:val="00B3735F"/>
    <w:rsid w:val="00B410C4"/>
    <w:rsid w:val="00B417EF"/>
    <w:rsid w:val="00B43546"/>
    <w:rsid w:val="00B43584"/>
    <w:rsid w:val="00B45010"/>
    <w:rsid w:val="00B46C03"/>
    <w:rsid w:val="00B5030A"/>
    <w:rsid w:val="00B52CDD"/>
    <w:rsid w:val="00B5488A"/>
    <w:rsid w:val="00B55574"/>
    <w:rsid w:val="00B56D3E"/>
    <w:rsid w:val="00B60135"/>
    <w:rsid w:val="00B6149C"/>
    <w:rsid w:val="00B615C5"/>
    <w:rsid w:val="00B621CC"/>
    <w:rsid w:val="00B65075"/>
    <w:rsid w:val="00B65235"/>
    <w:rsid w:val="00B671B3"/>
    <w:rsid w:val="00B701A5"/>
    <w:rsid w:val="00B703E3"/>
    <w:rsid w:val="00B706C6"/>
    <w:rsid w:val="00B74040"/>
    <w:rsid w:val="00B74A09"/>
    <w:rsid w:val="00B74DB6"/>
    <w:rsid w:val="00B803D1"/>
    <w:rsid w:val="00B810D2"/>
    <w:rsid w:val="00B83560"/>
    <w:rsid w:val="00B838CD"/>
    <w:rsid w:val="00B83CA0"/>
    <w:rsid w:val="00B84897"/>
    <w:rsid w:val="00B85AF2"/>
    <w:rsid w:val="00B86619"/>
    <w:rsid w:val="00B925F7"/>
    <w:rsid w:val="00B92E10"/>
    <w:rsid w:val="00B93634"/>
    <w:rsid w:val="00B93B98"/>
    <w:rsid w:val="00B93D16"/>
    <w:rsid w:val="00B93F7F"/>
    <w:rsid w:val="00B97FD2"/>
    <w:rsid w:val="00BA02F8"/>
    <w:rsid w:val="00BA0E35"/>
    <w:rsid w:val="00BA1FBA"/>
    <w:rsid w:val="00BA5BF3"/>
    <w:rsid w:val="00BA645E"/>
    <w:rsid w:val="00BA7118"/>
    <w:rsid w:val="00BB20EA"/>
    <w:rsid w:val="00BB49A3"/>
    <w:rsid w:val="00BB4D78"/>
    <w:rsid w:val="00BB5091"/>
    <w:rsid w:val="00BB5E5F"/>
    <w:rsid w:val="00BB62AA"/>
    <w:rsid w:val="00BC0DBD"/>
    <w:rsid w:val="00BC1820"/>
    <w:rsid w:val="00BC1E03"/>
    <w:rsid w:val="00BC200F"/>
    <w:rsid w:val="00BC29E9"/>
    <w:rsid w:val="00BC38DA"/>
    <w:rsid w:val="00BC3E2C"/>
    <w:rsid w:val="00BC5030"/>
    <w:rsid w:val="00BC5463"/>
    <w:rsid w:val="00BC72A2"/>
    <w:rsid w:val="00BD0112"/>
    <w:rsid w:val="00BD017B"/>
    <w:rsid w:val="00BD144D"/>
    <w:rsid w:val="00BD44E8"/>
    <w:rsid w:val="00BD4B3D"/>
    <w:rsid w:val="00BD7060"/>
    <w:rsid w:val="00BD71B9"/>
    <w:rsid w:val="00BD736A"/>
    <w:rsid w:val="00BE124D"/>
    <w:rsid w:val="00BE4966"/>
    <w:rsid w:val="00BE547A"/>
    <w:rsid w:val="00BE6B13"/>
    <w:rsid w:val="00BE73CD"/>
    <w:rsid w:val="00BE7545"/>
    <w:rsid w:val="00BE75BC"/>
    <w:rsid w:val="00BE78AF"/>
    <w:rsid w:val="00BF0CB9"/>
    <w:rsid w:val="00BF1031"/>
    <w:rsid w:val="00BF4CAC"/>
    <w:rsid w:val="00BF51A7"/>
    <w:rsid w:val="00BF5FB4"/>
    <w:rsid w:val="00BF78B0"/>
    <w:rsid w:val="00BF7BD2"/>
    <w:rsid w:val="00C00AF1"/>
    <w:rsid w:val="00C0115C"/>
    <w:rsid w:val="00C02B8A"/>
    <w:rsid w:val="00C03C9A"/>
    <w:rsid w:val="00C04B54"/>
    <w:rsid w:val="00C04C77"/>
    <w:rsid w:val="00C06CCF"/>
    <w:rsid w:val="00C0717E"/>
    <w:rsid w:val="00C10D62"/>
    <w:rsid w:val="00C11865"/>
    <w:rsid w:val="00C118B5"/>
    <w:rsid w:val="00C12934"/>
    <w:rsid w:val="00C14122"/>
    <w:rsid w:val="00C14CB8"/>
    <w:rsid w:val="00C15D41"/>
    <w:rsid w:val="00C179CB"/>
    <w:rsid w:val="00C17C94"/>
    <w:rsid w:val="00C2127D"/>
    <w:rsid w:val="00C22F09"/>
    <w:rsid w:val="00C22F81"/>
    <w:rsid w:val="00C235A0"/>
    <w:rsid w:val="00C23DEA"/>
    <w:rsid w:val="00C24CE9"/>
    <w:rsid w:val="00C251C4"/>
    <w:rsid w:val="00C25308"/>
    <w:rsid w:val="00C33ABE"/>
    <w:rsid w:val="00C36784"/>
    <w:rsid w:val="00C3731D"/>
    <w:rsid w:val="00C373E0"/>
    <w:rsid w:val="00C374AB"/>
    <w:rsid w:val="00C37C45"/>
    <w:rsid w:val="00C37E08"/>
    <w:rsid w:val="00C40CD2"/>
    <w:rsid w:val="00C41261"/>
    <w:rsid w:val="00C416DF"/>
    <w:rsid w:val="00C4299D"/>
    <w:rsid w:val="00C439C2"/>
    <w:rsid w:val="00C446EE"/>
    <w:rsid w:val="00C44AEE"/>
    <w:rsid w:val="00C502B0"/>
    <w:rsid w:val="00C50BFF"/>
    <w:rsid w:val="00C50DD9"/>
    <w:rsid w:val="00C52C9E"/>
    <w:rsid w:val="00C52D3D"/>
    <w:rsid w:val="00C52D7F"/>
    <w:rsid w:val="00C53340"/>
    <w:rsid w:val="00C539ED"/>
    <w:rsid w:val="00C53A54"/>
    <w:rsid w:val="00C549E9"/>
    <w:rsid w:val="00C55459"/>
    <w:rsid w:val="00C55CE8"/>
    <w:rsid w:val="00C55F29"/>
    <w:rsid w:val="00C625A3"/>
    <w:rsid w:val="00C63319"/>
    <w:rsid w:val="00C638C8"/>
    <w:rsid w:val="00C64236"/>
    <w:rsid w:val="00C64600"/>
    <w:rsid w:val="00C64DDB"/>
    <w:rsid w:val="00C6511E"/>
    <w:rsid w:val="00C6553C"/>
    <w:rsid w:val="00C65A24"/>
    <w:rsid w:val="00C66170"/>
    <w:rsid w:val="00C662A9"/>
    <w:rsid w:val="00C671C3"/>
    <w:rsid w:val="00C673D7"/>
    <w:rsid w:val="00C67A12"/>
    <w:rsid w:val="00C67B2F"/>
    <w:rsid w:val="00C67C1F"/>
    <w:rsid w:val="00C67C95"/>
    <w:rsid w:val="00C67EC7"/>
    <w:rsid w:val="00C727F8"/>
    <w:rsid w:val="00C728F5"/>
    <w:rsid w:val="00C72E3C"/>
    <w:rsid w:val="00C741EF"/>
    <w:rsid w:val="00C74FD9"/>
    <w:rsid w:val="00C75437"/>
    <w:rsid w:val="00C7572E"/>
    <w:rsid w:val="00C76B07"/>
    <w:rsid w:val="00C76D2D"/>
    <w:rsid w:val="00C77227"/>
    <w:rsid w:val="00C776D9"/>
    <w:rsid w:val="00C77877"/>
    <w:rsid w:val="00C8225B"/>
    <w:rsid w:val="00C866E2"/>
    <w:rsid w:val="00C86B55"/>
    <w:rsid w:val="00C90C98"/>
    <w:rsid w:val="00C92A30"/>
    <w:rsid w:val="00C92B7B"/>
    <w:rsid w:val="00C92EC5"/>
    <w:rsid w:val="00C93111"/>
    <w:rsid w:val="00C9476A"/>
    <w:rsid w:val="00C95074"/>
    <w:rsid w:val="00C9526E"/>
    <w:rsid w:val="00C95CAF"/>
    <w:rsid w:val="00C96260"/>
    <w:rsid w:val="00C963F1"/>
    <w:rsid w:val="00C97A34"/>
    <w:rsid w:val="00CA0D8E"/>
    <w:rsid w:val="00CA21D2"/>
    <w:rsid w:val="00CA269D"/>
    <w:rsid w:val="00CA3563"/>
    <w:rsid w:val="00CA4272"/>
    <w:rsid w:val="00CA43F1"/>
    <w:rsid w:val="00CA6EF6"/>
    <w:rsid w:val="00CB01CD"/>
    <w:rsid w:val="00CB06C0"/>
    <w:rsid w:val="00CB0D9B"/>
    <w:rsid w:val="00CB11BA"/>
    <w:rsid w:val="00CB1765"/>
    <w:rsid w:val="00CB386E"/>
    <w:rsid w:val="00CB3C96"/>
    <w:rsid w:val="00CB3D24"/>
    <w:rsid w:val="00CB46E7"/>
    <w:rsid w:val="00CB573F"/>
    <w:rsid w:val="00CB6CF1"/>
    <w:rsid w:val="00CB74A7"/>
    <w:rsid w:val="00CC07DB"/>
    <w:rsid w:val="00CC1C38"/>
    <w:rsid w:val="00CC2863"/>
    <w:rsid w:val="00CC5D27"/>
    <w:rsid w:val="00CC5E4E"/>
    <w:rsid w:val="00CC5F7A"/>
    <w:rsid w:val="00CC6748"/>
    <w:rsid w:val="00CC77D4"/>
    <w:rsid w:val="00CD0266"/>
    <w:rsid w:val="00CD0AB0"/>
    <w:rsid w:val="00CD0C18"/>
    <w:rsid w:val="00CD0D0B"/>
    <w:rsid w:val="00CD14DE"/>
    <w:rsid w:val="00CD2AB6"/>
    <w:rsid w:val="00CD2C60"/>
    <w:rsid w:val="00CD3F80"/>
    <w:rsid w:val="00CD7A9B"/>
    <w:rsid w:val="00CE08CA"/>
    <w:rsid w:val="00CE1429"/>
    <w:rsid w:val="00CE168D"/>
    <w:rsid w:val="00CE1AB6"/>
    <w:rsid w:val="00CE3CAB"/>
    <w:rsid w:val="00CF0B40"/>
    <w:rsid w:val="00CF0ECD"/>
    <w:rsid w:val="00CF1D45"/>
    <w:rsid w:val="00CF312A"/>
    <w:rsid w:val="00CF4FF8"/>
    <w:rsid w:val="00CF5120"/>
    <w:rsid w:val="00CF5EC9"/>
    <w:rsid w:val="00CF60C3"/>
    <w:rsid w:val="00CF730D"/>
    <w:rsid w:val="00CF76AC"/>
    <w:rsid w:val="00D0186C"/>
    <w:rsid w:val="00D01E7B"/>
    <w:rsid w:val="00D025A7"/>
    <w:rsid w:val="00D02E06"/>
    <w:rsid w:val="00D036BB"/>
    <w:rsid w:val="00D05323"/>
    <w:rsid w:val="00D06551"/>
    <w:rsid w:val="00D06D4F"/>
    <w:rsid w:val="00D078EF"/>
    <w:rsid w:val="00D108BE"/>
    <w:rsid w:val="00D10B4F"/>
    <w:rsid w:val="00D1140A"/>
    <w:rsid w:val="00D11C09"/>
    <w:rsid w:val="00D12294"/>
    <w:rsid w:val="00D13692"/>
    <w:rsid w:val="00D14CE2"/>
    <w:rsid w:val="00D14DF4"/>
    <w:rsid w:val="00D17347"/>
    <w:rsid w:val="00D175C4"/>
    <w:rsid w:val="00D176E4"/>
    <w:rsid w:val="00D17EC6"/>
    <w:rsid w:val="00D17F80"/>
    <w:rsid w:val="00D203D4"/>
    <w:rsid w:val="00D208C5"/>
    <w:rsid w:val="00D20BCF"/>
    <w:rsid w:val="00D227F7"/>
    <w:rsid w:val="00D22EE3"/>
    <w:rsid w:val="00D24619"/>
    <w:rsid w:val="00D25495"/>
    <w:rsid w:val="00D25E45"/>
    <w:rsid w:val="00D279CB"/>
    <w:rsid w:val="00D30BFF"/>
    <w:rsid w:val="00D337B9"/>
    <w:rsid w:val="00D3532F"/>
    <w:rsid w:val="00D40A2C"/>
    <w:rsid w:val="00D41159"/>
    <w:rsid w:val="00D41A09"/>
    <w:rsid w:val="00D41C8A"/>
    <w:rsid w:val="00D42260"/>
    <w:rsid w:val="00D43FBC"/>
    <w:rsid w:val="00D44DA8"/>
    <w:rsid w:val="00D4505E"/>
    <w:rsid w:val="00D45845"/>
    <w:rsid w:val="00D45E72"/>
    <w:rsid w:val="00D46C4C"/>
    <w:rsid w:val="00D478C2"/>
    <w:rsid w:val="00D50BD3"/>
    <w:rsid w:val="00D51170"/>
    <w:rsid w:val="00D5158E"/>
    <w:rsid w:val="00D51DB0"/>
    <w:rsid w:val="00D5222B"/>
    <w:rsid w:val="00D52301"/>
    <w:rsid w:val="00D52529"/>
    <w:rsid w:val="00D5334B"/>
    <w:rsid w:val="00D542A0"/>
    <w:rsid w:val="00D547B4"/>
    <w:rsid w:val="00D55B40"/>
    <w:rsid w:val="00D55E8E"/>
    <w:rsid w:val="00D56375"/>
    <w:rsid w:val="00D57430"/>
    <w:rsid w:val="00D6230D"/>
    <w:rsid w:val="00D6379B"/>
    <w:rsid w:val="00D63A7A"/>
    <w:rsid w:val="00D6507E"/>
    <w:rsid w:val="00D654F0"/>
    <w:rsid w:val="00D6554F"/>
    <w:rsid w:val="00D6556D"/>
    <w:rsid w:val="00D700B3"/>
    <w:rsid w:val="00D701DE"/>
    <w:rsid w:val="00D71118"/>
    <w:rsid w:val="00D71801"/>
    <w:rsid w:val="00D746C4"/>
    <w:rsid w:val="00D74773"/>
    <w:rsid w:val="00D762A9"/>
    <w:rsid w:val="00D765A5"/>
    <w:rsid w:val="00D76932"/>
    <w:rsid w:val="00D82533"/>
    <w:rsid w:val="00D84178"/>
    <w:rsid w:val="00D84569"/>
    <w:rsid w:val="00D856DD"/>
    <w:rsid w:val="00D870A1"/>
    <w:rsid w:val="00D91C4B"/>
    <w:rsid w:val="00D933CB"/>
    <w:rsid w:val="00D93A39"/>
    <w:rsid w:val="00D9477E"/>
    <w:rsid w:val="00D954CC"/>
    <w:rsid w:val="00D9654C"/>
    <w:rsid w:val="00D965BD"/>
    <w:rsid w:val="00D9718D"/>
    <w:rsid w:val="00D97580"/>
    <w:rsid w:val="00D9778D"/>
    <w:rsid w:val="00DA02BD"/>
    <w:rsid w:val="00DA1A8F"/>
    <w:rsid w:val="00DA1B27"/>
    <w:rsid w:val="00DA1C69"/>
    <w:rsid w:val="00DA21AB"/>
    <w:rsid w:val="00DA2D3A"/>
    <w:rsid w:val="00DA2FE0"/>
    <w:rsid w:val="00DA46F8"/>
    <w:rsid w:val="00DA533A"/>
    <w:rsid w:val="00DA5761"/>
    <w:rsid w:val="00DA7206"/>
    <w:rsid w:val="00DA7756"/>
    <w:rsid w:val="00DA7905"/>
    <w:rsid w:val="00DA7F08"/>
    <w:rsid w:val="00DB0E1D"/>
    <w:rsid w:val="00DB190D"/>
    <w:rsid w:val="00DB29E3"/>
    <w:rsid w:val="00DB3104"/>
    <w:rsid w:val="00DB40B8"/>
    <w:rsid w:val="00DB428F"/>
    <w:rsid w:val="00DB6034"/>
    <w:rsid w:val="00DB618F"/>
    <w:rsid w:val="00DB6F38"/>
    <w:rsid w:val="00DB763F"/>
    <w:rsid w:val="00DC0496"/>
    <w:rsid w:val="00DC092E"/>
    <w:rsid w:val="00DC0BD4"/>
    <w:rsid w:val="00DC36ED"/>
    <w:rsid w:val="00DC384B"/>
    <w:rsid w:val="00DC6811"/>
    <w:rsid w:val="00DC68DD"/>
    <w:rsid w:val="00DC794B"/>
    <w:rsid w:val="00DD1844"/>
    <w:rsid w:val="00DD4BA4"/>
    <w:rsid w:val="00DD4BF9"/>
    <w:rsid w:val="00DD4C18"/>
    <w:rsid w:val="00DD4FA8"/>
    <w:rsid w:val="00DD6530"/>
    <w:rsid w:val="00DD6E96"/>
    <w:rsid w:val="00DD7DFC"/>
    <w:rsid w:val="00DE0269"/>
    <w:rsid w:val="00DE043D"/>
    <w:rsid w:val="00DE115B"/>
    <w:rsid w:val="00DE1483"/>
    <w:rsid w:val="00DE1E8C"/>
    <w:rsid w:val="00DE1EC4"/>
    <w:rsid w:val="00DE2400"/>
    <w:rsid w:val="00DE3C0D"/>
    <w:rsid w:val="00DE452E"/>
    <w:rsid w:val="00DE4B0E"/>
    <w:rsid w:val="00DE5FBD"/>
    <w:rsid w:val="00DE69B4"/>
    <w:rsid w:val="00DE71BB"/>
    <w:rsid w:val="00DF0BE9"/>
    <w:rsid w:val="00DF26B6"/>
    <w:rsid w:val="00DF482E"/>
    <w:rsid w:val="00DF62AD"/>
    <w:rsid w:val="00DF6C6F"/>
    <w:rsid w:val="00E00504"/>
    <w:rsid w:val="00E01432"/>
    <w:rsid w:val="00E01641"/>
    <w:rsid w:val="00E02147"/>
    <w:rsid w:val="00E029B2"/>
    <w:rsid w:val="00E02A2E"/>
    <w:rsid w:val="00E02D1A"/>
    <w:rsid w:val="00E033FC"/>
    <w:rsid w:val="00E03655"/>
    <w:rsid w:val="00E0524E"/>
    <w:rsid w:val="00E0748B"/>
    <w:rsid w:val="00E10BBF"/>
    <w:rsid w:val="00E11528"/>
    <w:rsid w:val="00E11C16"/>
    <w:rsid w:val="00E1320E"/>
    <w:rsid w:val="00E13B9C"/>
    <w:rsid w:val="00E16A4A"/>
    <w:rsid w:val="00E1726E"/>
    <w:rsid w:val="00E1745F"/>
    <w:rsid w:val="00E17B55"/>
    <w:rsid w:val="00E17C8D"/>
    <w:rsid w:val="00E17FC6"/>
    <w:rsid w:val="00E21EE0"/>
    <w:rsid w:val="00E23449"/>
    <w:rsid w:val="00E24A12"/>
    <w:rsid w:val="00E24C4C"/>
    <w:rsid w:val="00E253A9"/>
    <w:rsid w:val="00E260DC"/>
    <w:rsid w:val="00E2644B"/>
    <w:rsid w:val="00E26C06"/>
    <w:rsid w:val="00E26E8E"/>
    <w:rsid w:val="00E27459"/>
    <w:rsid w:val="00E27748"/>
    <w:rsid w:val="00E277DE"/>
    <w:rsid w:val="00E27FDE"/>
    <w:rsid w:val="00E3048F"/>
    <w:rsid w:val="00E306DC"/>
    <w:rsid w:val="00E325C5"/>
    <w:rsid w:val="00E32FBC"/>
    <w:rsid w:val="00E33812"/>
    <w:rsid w:val="00E343D1"/>
    <w:rsid w:val="00E36327"/>
    <w:rsid w:val="00E373A1"/>
    <w:rsid w:val="00E422B2"/>
    <w:rsid w:val="00E444EE"/>
    <w:rsid w:val="00E44FB3"/>
    <w:rsid w:val="00E46664"/>
    <w:rsid w:val="00E46CA7"/>
    <w:rsid w:val="00E52833"/>
    <w:rsid w:val="00E529F0"/>
    <w:rsid w:val="00E54047"/>
    <w:rsid w:val="00E55CB4"/>
    <w:rsid w:val="00E575DE"/>
    <w:rsid w:val="00E57B9A"/>
    <w:rsid w:val="00E57E97"/>
    <w:rsid w:val="00E6050B"/>
    <w:rsid w:val="00E60D98"/>
    <w:rsid w:val="00E60DE7"/>
    <w:rsid w:val="00E61A49"/>
    <w:rsid w:val="00E61BAF"/>
    <w:rsid w:val="00E61C3A"/>
    <w:rsid w:val="00E64941"/>
    <w:rsid w:val="00E659F2"/>
    <w:rsid w:val="00E66EC3"/>
    <w:rsid w:val="00E67410"/>
    <w:rsid w:val="00E70CF0"/>
    <w:rsid w:val="00E71DAB"/>
    <w:rsid w:val="00E72721"/>
    <w:rsid w:val="00E727BD"/>
    <w:rsid w:val="00E72A72"/>
    <w:rsid w:val="00E72B4C"/>
    <w:rsid w:val="00E734DC"/>
    <w:rsid w:val="00E7509A"/>
    <w:rsid w:val="00E751DA"/>
    <w:rsid w:val="00E75B23"/>
    <w:rsid w:val="00E7616E"/>
    <w:rsid w:val="00E77E51"/>
    <w:rsid w:val="00E8017E"/>
    <w:rsid w:val="00E83370"/>
    <w:rsid w:val="00E84000"/>
    <w:rsid w:val="00E852BF"/>
    <w:rsid w:val="00E853EE"/>
    <w:rsid w:val="00E85F86"/>
    <w:rsid w:val="00E869BA"/>
    <w:rsid w:val="00E86B11"/>
    <w:rsid w:val="00E87863"/>
    <w:rsid w:val="00E90432"/>
    <w:rsid w:val="00E9263F"/>
    <w:rsid w:val="00E92FB7"/>
    <w:rsid w:val="00E933B9"/>
    <w:rsid w:val="00E94044"/>
    <w:rsid w:val="00E941A1"/>
    <w:rsid w:val="00E94755"/>
    <w:rsid w:val="00E96177"/>
    <w:rsid w:val="00E9643D"/>
    <w:rsid w:val="00E97563"/>
    <w:rsid w:val="00EA0716"/>
    <w:rsid w:val="00EA1270"/>
    <w:rsid w:val="00EA2CE2"/>
    <w:rsid w:val="00EA2FF2"/>
    <w:rsid w:val="00EA43F5"/>
    <w:rsid w:val="00EA4541"/>
    <w:rsid w:val="00EA7A7A"/>
    <w:rsid w:val="00EB047F"/>
    <w:rsid w:val="00EB1F41"/>
    <w:rsid w:val="00EB201A"/>
    <w:rsid w:val="00EB3D48"/>
    <w:rsid w:val="00EB413B"/>
    <w:rsid w:val="00EB480E"/>
    <w:rsid w:val="00EB6198"/>
    <w:rsid w:val="00EB67D7"/>
    <w:rsid w:val="00EB6CBB"/>
    <w:rsid w:val="00EB776D"/>
    <w:rsid w:val="00EB77BA"/>
    <w:rsid w:val="00EC0B7C"/>
    <w:rsid w:val="00EC0C5C"/>
    <w:rsid w:val="00EC20AA"/>
    <w:rsid w:val="00EC32C0"/>
    <w:rsid w:val="00EC3EC9"/>
    <w:rsid w:val="00EC5076"/>
    <w:rsid w:val="00ED0E41"/>
    <w:rsid w:val="00ED12CD"/>
    <w:rsid w:val="00ED18D1"/>
    <w:rsid w:val="00ED2E80"/>
    <w:rsid w:val="00ED3541"/>
    <w:rsid w:val="00ED359D"/>
    <w:rsid w:val="00ED3AD6"/>
    <w:rsid w:val="00ED4CA3"/>
    <w:rsid w:val="00ED5A96"/>
    <w:rsid w:val="00ED79CC"/>
    <w:rsid w:val="00ED7A72"/>
    <w:rsid w:val="00EE0529"/>
    <w:rsid w:val="00EE208B"/>
    <w:rsid w:val="00EE20E1"/>
    <w:rsid w:val="00EE2525"/>
    <w:rsid w:val="00EE343E"/>
    <w:rsid w:val="00EE363D"/>
    <w:rsid w:val="00EE3840"/>
    <w:rsid w:val="00EE38F9"/>
    <w:rsid w:val="00EE4F81"/>
    <w:rsid w:val="00EE5BC4"/>
    <w:rsid w:val="00EE673F"/>
    <w:rsid w:val="00EE6C78"/>
    <w:rsid w:val="00EE7CCC"/>
    <w:rsid w:val="00EF00E6"/>
    <w:rsid w:val="00EF0F27"/>
    <w:rsid w:val="00EF1BC2"/>
    <w:rsid w:val="00EF2287"/>
    <w:rsid w:val="00EF27DD"/>
    <w:rsid w:val="00EF3993"/>
    <w:rsid w:val="00EF55B6"/>
    <w:rsid w:val="00EF6818"/>
    <w:rsid w:val="00EF69D4"/>
    <w:rsid w:val="00EF720B"/>
    <w:rsid w:val="00EF7702"/>
    <w:rsid w:val="00F00176"/>
    <w:rsid w:val="00F002F0"/>
    <w:rsid w:val="00F01321"/>
    <w:rsid w:val="00F01A7C"/>
    <w:rsid w:val="00F026DA"/>
    <w:rsid w:val="00F02971"/>
    <w:rsid w:val="00F02B9D"/>
    <w:rsid w:val="00F02F8A"/>
    <w:rsid w:val="00F03238"/>
    <w:rsid w:val="00F043A9"/>
    <w:rsid w:val="00F04ADD"/>
    <w:rsid w:val="00F06C9A"/>
    <w:rsid w:val="00F11769"/>
    <w:rsid w:val="00F117A3"/>
    <w:rsid w:val="00F13062"/>
    <w:rsid w:val="00F139E9"/>
    <w:rsid w:val="00F13AF3"/>
    <w:rsid w:val="00F153A2"/>
    <w:rsid w:val="00F2284C"/>
    <w:rsid w:val="00F22D3A"/>
    <w:rsid w:val="00F2429A"/>
    <w:rsid w:val="00F243C2"/>
    <w:rsid w:val="00F24D39"/>
    <w:rsid w:val="00F2646A"/>
    <w:rsid w:val="00F26490"/>
    <w:rsid w:val="00F26CAD"/>
    <w:rsid w:val="00F27F2A"/>
    <w:rsid w:val="00F3287A"/>
    <w:rsid w:val="00F335AF"/>
    <w:rsid w:val="00F35C49"/>
    <w:rsid w:val="00F3620F"/>
    <w:rsid w:val="00F3746E"/>
    <w:rsid w:val="00F4011D"/>
    <w:rsid w:val="00F406D8"/>
    <w:rsid w:val="00F40F6E"/>
    <w:rsid w:val="00F41FD6"/>
    <w:rsid w:val="00F42EB8"/>
    <w:rsid w:val="00F437BA"/>
    <w:rsid w:val="00F43B34"/>
    <w:rsid w:val="00F43BF6"/>
    <w:rsid w:val="00F43F9B"/>
    <w:rsid w:val="00F4429C"/>
    <w:rsid w:val="00F46E96"/>
    <w:rsid w:val="00F46EB3"/>
    <w:rsid w:val="00F46F95"/>
    <w:rsid w:val="00F47266"/>
    <w:rsid w:val="00F532B9"/>
    <w:rsid w:val="00F54792"/>
    <w:rsid w:val="00F55119"/>
    <w:rsid w:val="00F55C57"/>
    <w:rsid w:val="00F55FA7"/>
    <w:rsid w:val="00F57813"/>
    <w:rsid w:val="00F57CAE"/>
    <w:rsid w:val="00F60916"/>
    <w:rsid w:val="00F61046"/>
    <w:rsid w:val="00F61245"/>
    <w:rsid w:val="00F6245F"/>
    <w:rsid w:val="00F63328"/>
    <w:rsid w:val="00F6692F"/>
    <w:rsid w:val="00F717FC"/>
    <w:rsid w:val="00F71887"/>
    <w:rsid w:val="00F726D8"/>
    <w:rsid w:val="00F72B2E"/>
    <w:rsid w:val="00F7311F"/>
    <w:rsid w:val="00F746F5"/>
    <w:rsid w:val="00F752EA"/>
    <w:rsid w:val="00F75A89"/>
    <w:rsid w:val="00F75BD6"/>
    <w:rsid w:val="00F76CEE"/>
    <w:rsid w:val="00F771CA"/>
    <w:rsid w:val="00F7746F"/>
    <w:rsid w:val="00F8159A"/>
    <w:rsid w:val="00F82B8A"/>
    <w:rsid w:val="00F838F2"/>
    <w:rsid w:val="00F845E7"/>
    <w:rsid w:val="00F84896"/>
    <w:rsid w:val="00F85190"/>
    <w:rsid w:val="00F86F78"/>
    <w:rsid w:val="00F87893"/>
    <w:rsid w:val="00F9207C"/>
    <w:rsid w:val="00F92819"/>
    <w:rsid w:val="00F93158"/>
    <w:rsid w:val="00F93199"/>
    <w:rsid w:val="00F9344F"/>
    <w:rsid w:val="00F93CA4"/>
    <w:rsid w:val="00F93CA7"/>
    <w:rsid w:val="00F94595"/>
    <w:rsid w:val="00F9489A"/>
    <w:rsid w:val="00F94A65"/>
    <w:rsid w:val="00F951AE"/>
    <w:rsid w:val="00F95A66"/>
    <w:rsid w:val="00F96935"/>
    <w:rsid w:val="00F96967"/>
    <w:rsid w:val="00F96A1E"/>
    <w:rsid w:val="00F977BA"/>
    <w:rsid w:val="00F9786B"/>
    <w:rsid w:val="00FA05BC"/>
    <w:rsid w:val="00FA201D"/>
    <w:rsid w:val="00FA217B"/>
    <w:rsid w:val="00FA26A5"/>
    <w:rsid w:val="00FA29C5"/>
    <w:rsid w:val="00FA2D4E"/>
    <w:rsid w:val="00FA3833"/>
    <w:rsid w:val="00FA508C"/>
    <w:rsid w:val="00FA56F4"/>
    <w:rsid w:val="00FA70D4"/>
    <w:rsid w:val="00FA7920"/>
    <w:rsid w:val="00FB05C3"/>
    <w:rsid w:val="00FB06A2"/>
    <w:rsid w:val="00FB44F3"/>
    <w:rsid w:val="00FB451F"/>
    <w:rsid w:val="00FB7ED9"/>
    <w:rsid w:val="00FC243F"/>
    <w:rsid w:val="00FC286C"/>
    <w:rsid w:val="00FC2CB2"/>
    <w:rsid w:val="00FC31F1"/>
    <w:rsid w:val="00FC49DB"/>
    <w:rsid w:val="00FC4FAA"/>
    <w:rsid w:val="00FC54F0"/>
    <w:rsid w:val="00FC58CE"/>
    <w:rsid w:val="00FC6019"/>
    <w:rsid w:val="00FC668A"/>
    <w:rsid w:val="00FC6941"/>
    <w:rsid w:val="00FC6C71"/>
    <w:rsid w:val="00FC6C96"/>
    <w:rsid w:val="00FC729A"/>
    <w:rsid w:val="00FC7A72"/>
    <w:rsid w:val="00FD0594"/>
    <w:rsid w:val="00FD0959"/>
    <w:rsid w:val="00FD0BBA"/>
    <w:rsid w:val="00FD0C38"/>
    <w:rsid w:val="00FD0E81"/>
    <w:rsid w:val="00FD216B"/>
    <w:rsid w:val="00FD2338"/>
    <w:rsid w:val="00FD3173"/>
    <w:rsid w:val="00FD37BD"/>
    <w:rsid w:val="00FD5448"/>
    <w:rsid w:val="00FD59DD"/>
    <w:rsid w:val="00FD7491"/>
    <w:rsid w:val="00FD7B74"/>
    <w:rsid w:val="00FE1097"/>
    <w:rsid w:val="00FE1D69"/>
    <w:rsid w:val="00FE2226"/>
    <w:rsid w:val="00FE25DD"/>
    <w:rsid w:val="00FE3E7E"/>
    <w:rsid w:val="00FE50E9"/>
    <w:rsid w:val="00FE5184"/>
    <w:rsid w:val="00FE5659"/>
    <w:rsid w:val="00FE5EC7"/>
    <w:rsid w:val="00FE626F"/>
    <w:rsid w:val="00FF013C"/>
    <w:rsid w:val="00FF03AF"/>
    <w:rsid w:val="00FF1AFA"/>
    <w:rsid w:val="00FF1E5E"/>
    <w:rsid w:val="00FF2773"/>
    <w:rsid w:val="00FF2CF4"/>
    <w:rsid w:val="00FF3423"/>
    <w:rsid w:val="00FF5D32"/>
    <w:rsid w:val="00FF5D5A"/>
    <w:rsid w:val="00FF5FF9"/>
    <w:rsid w:val="00FF6A6B"/>
    <w:rsid w:val="00FF707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3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22F81"/>
  </w:style>
  <w:style w:type="paragraph" w:styleId="Nagwek1">
    <w:name w:val="heading 1"/>
    <w:aliases w:val="Header 1"/>
    <w:basedOn w:val="Normalny"/>
    <w:next w:val="Normalny"/>
    <w:link w:val="Nagwek1Znak"/>
    <w:uiPriority w:val="9"/>
    <w:qFormat/>
    <w:rsid w:val="00717F5D"/>
    <w:pPr>
      <w:keepNext/>
      <w:numPr>
        <w:numId w:val="5"/>
      </w:numPr>
      <w:spacing w:before="240" w:after="60" w:line="240" w:lineRule="auto"/>
      <w:outlineLvl w:val="0"/>
    </w:pPr>
    <w:rPr>
      <w:rFonts w:asciiTheme="majorHAnsi" w:eastAsiaTheme="majorEastAsia" w:hAnsiTheme="majorHAnsi" w:cstheme="majorBidi"/>
      <w:b/>
      <w:bCs/>
      <w:kern w:val="32"/>
      <w:sz w:val="32"/>
      <w:szCs w:val="32"/>
      <w:lang w:val="en-US"/>
    </w:rPr>
  </w:style>
  <w:style w:type="paragraph" w:styleId="Nagwek2">
    <w:name w:val="heading 2"/>
    <w:aliases w:val="Header 2"/>
    <w:basedOn w:val="Normalny"/>
    <w:next w:val="Normalny"/>
    <w:link w:val="Nagwek2Znak"/>
    <w:uiPriority w:val="9"/>
    <w:unhideWhenUsed/>
    <w:qFormat/>
    <w:rsid w:val="00717F5D"/>
    <w:pPr>
      <w:keepNext/>
      <w:numPr>
        <w:ilvl w:val="1"/>
        <w:numId w:val="5"/>
      </w:numPr>
      <w:spacing w:before="240" w:after="60" w:line="240" w:lineRule="auto"/>
      <w:outlineLvl w:val="1"/>
    </w:pPr>
    <w:rPr>
      <w:rFonts w:asciiTheme="majorHAnsi" w:eastAsiaTheme="majorEastAsia" w:hAnsiTheme="majorHAnsi" w:cstheme="majorBidi"/>
      <w:b/>
      <w:bCs/>
      <w:i/>
      <w:iCs/>
      <w:sz w:val="28"/>
      <w:szCs w:val="28"/>
      <w:lang w:val="en-US"/>
    </w:rPr>
  </w:style>
  <w:style w:type="paragraph" w:styleId="Nagwek3">
    <w:name w:val="heading 3"/>
    <w:basedOn w:val="Normalny"/>
    <w:next w:val="Normalny"/>
    <w:link w:val="Nagwek3Znak"/>
    <w:uiPriority w:val="9"/>
    <w:semiHidden/>
    <w:unhideWhenUsed/>
    <w:qFormat/>
    <w:rsid w:val="00717F5D"/>
    <w:pPr>
      <w:keepNext/>
      <w:numPr>
        <w:ilvl w:val="2"/>
        <w:numId w:val="5"/>
      </w:numPr>
      <w:spacing w:before="240" w:after="60" w:line="240" w:lineRule="auto"/>
      <w:outlineLvl w:val="2"/>
    </w:pPr>
    <w:rPr>
      <w:rFonts w:asciiTheme="majorHAnsi" w:eastAsiaTheme="majorEastAsia" w:hAnsiTheme="majorHAnsi" w:cstheme="majorBidi"/>
      <w:b/>
      <w:bCs/>
      <w:sz w:val="26"/>
      <w:szCs w:val="26"/>
      <w:lang w:val="en-US"/>
    </w:rPr>
  </w:style>
  <w:style w:type="paragraph" w:styleId="Nagwek4">
    <w:name w:val="heading 4"/>
    <w:basedOn w:val="Normalny"/>
    <w:next w:val="Normalny"/>
    <w:link w:val="Nagwek4Znak"/>
    <w:uiPriority w:val="9"/>
    <w:semiHidden/>
    <w:unhideWhenUsed/>
    <w:qFormat/>
    <w:rsid w:val="00717F5D"/>
    <w:pPr>
      <w:keepNext/>
      <w:numPr>
        <w:ilvl w:val="3"/>
        <w:numId w:val="5"/>
      </w:numPr>
      <w:spacing w:before="240" w:after="60" w:line="240" w:lineRule="auto"/>
      <w:outlineLvl w:val="3"/>
    </w:pPr>
    <w:rPr>
      <w:rFonts w:eastAsiaTheme="minorEastAsia"/>
      <w:b/>
      <w:bCs/>
      <w:sz w:val="28"/>
      <w:szCs w:val="28"/>
      <w:lang w:val="en-US"/>
    </w:rPr>
  </w:style>
  <w:style w:type="paragraph" w:styleId="Nagwek5">
    <w:name w:val="heading 5"/>
    <w:basedOn w:val="Normalny"/>
    <w:next w:val="Normalny"/>
    <w:link w:val="Nagwek5Znak"/>
    <w:uiPriority w:val="9"/>
    <w:semiHidden/>
    <w:unhideWhenUsed/>
    <w:qFormat/>
    <w:rsid w:val="00717F5D"/>
    <w:pPr>
      <w:numPr>
        <w:ilvl w:val="4"/>
        <w:numId w:val="5"/>
      </w:numPr>
      <w:spacing w:before="240" w:after="60" w:line="240" w:lineRule="auto"/>
      <w:outlineLvl w:val="4"/>
    </w:pPr>
    <w:rPr>
      <w:rFonts w:eastAsiaTheme="minorEastAsia"/>
      <w:b/>
      <w:bCs/>
      <w:i/>
      <w:iCs/>
      <w:sz w:val="26"/>
      <w:szCs w:val="26"/>
      <w:lang w:val="en-US"/>
    </w:rPr>
  </w:style>
  <w:style w:type="paragraph" w:styleId="Nagwek6">
    <w:name w:val="heading 6"/>
    <w:basedOn w:val="Normalny"/>
    <w:next w:val="Normalny"/>
    <w:link w:val="Nagwek6Znak"/>
    <w:qFormat/>
    <w:rsid w:val="00717F5D"/>
    <w:pPr>
      <w:numPr>
        <w:ilvl w:val="5"/>
        <w:numId w:val="5"/>
      </w:numPr>
      <w:spacing w:before="240" w:after="60" w:line="240" w:lineRule="auto"/>
      <w:outlineLvl w:val="5"/>
    </w:pPr>
    <w:rPr>
      <w:rFonts w:ascii="Times New Roman" w:eastAsia="Times New Roman" w:hAnsi="Times New Roman" w:cs="Times New Roman"/>
      <w:b/>
      <w:bCs/>
      <w:lang w:val="en-US"/>
    </w:rPr>
  </w:style>
  <w:style w:type="paragraph" w:styleId="Nagwek7">
    <w:name w:val="heading 7"/>
    <w:basedOn w:val="Normalny"/>
    <w:next w:val="Normalny"/>
    <w:link w:val="Nagwek7Znak"/>
    <w:uiPriority w:val="9"/>
    <w:semiHidden/>
    <w:unhideWhenUsed/>
    <w:qFormat/>
    <w:rsid w:val="00717F5D"/>
    <w:pPr>
      <w:numPr>
        <w:ilvl w:val="6"/>
        <w:numId w:val="5"/>
      </w:numPr>
      <w:spacing w:before="240" w:after="60" w:line="240" w:lineRule="auto"/>
      <w:outlineLvl w:val="6"/>
    </w:pPr>
    <w:rPr>
      <w:rFonts w:eastAsiaTheme="minorEastAsia"/>
      <w:sz w:val="24"/>
      <w:szCs w:val="24"/>
      <w:lang w:val="en-US"/>
    </w:rPr>
  </w:style>
  <w:style w:type="paragraph" w:styleId="Nagwek8">
    <w:name w:val="heading 8"/>
    <w:basedOn w:val="Normalny"/>
    <w:next w:val="Normalny"/>
    <w:link w:val="Nagwek8Znak"/>
    <w:uiPriority w:val="9"/>
    <w:semiHidden/>
    <w:unhideWhenUsed/>
    <w:qFormat/>
    <w:rsid w:val="00717F5D"/>
    <w:pPr>
      <w:numPr>
        <w:ilvl w:val="7"/>
        <w:numId w:val="5"/>
      </w:numPr>
      <w:spacing w:before="240" w:after="60" w:line="240" w:lineRule="auto"/>
      <w:outlineLvl w:val="7"/>
    </w:pPr>
    <w:rPr>
      <w:rFonts w:eastAsiaTheme="minorEastAsia"/>
      <w:i/>
      <w:iCs/>
      <w:sz w:val="24"/>
      <w:szCs w:val="24"/>
      <w:lang w:val="en-US"/>
    </w:rPr>
  </w:style>
  <w:style w:type="paragraph" w:styleId="Nagwek9">
    <w:name w:val="heading 9"/>
    <w:basedOn w:val="Normalny"/>
    <w:next w:val="Normalny"/>
    <w:link w:val="Nagwek9Znak"/>
    <w:uiPriority w:val="9"/>
    <w:semiHidden/>
    <w:unhideWhenUsed/>
    <w:qFormat/>
    <w:rsid w:val="00717F5D"/>
    <w:pPr>
      <w:numPr>
        <w:ilvl w:val="8"/>
        <w:numId w:val="5"/>
      </w:numPr>
      <w:spacing w:before="240" w:after="60" w:line="240" w:lineRule="auto"/>
      <w:outlineLvl w:val="8"/>
    </w:pPr>
    <w:rPr>
      <w:rFonts w:asciiTheme="majorHAnsi" w:eastAsiaTheme="majorEastAsia" w:hAnsiTheme="majorHAnsi" w:cstheme="majorBidi"/>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E6C78"/>
    <w:pPr>
      <w:ind w:left="720"/>
      <w:contextualSpacing/>
    </w:pPr>
  </w:style>
  <w:style w:type="table" w:styleId="Tabela-Siatka">
    <w:name w:val="Table Grid"/>
    <w:basedOn w:val="Standardowy"/>
    <w:uiPriority w:val="59"/>
    <w:rsid w:val="008955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dolnego">
    <w:name w:val="footnote text"/>
    <w:basedOn w:val="Normalny"/>
    <w:link w:val="TekstprzypisudolnegoZnak"/>
    <w:uiPriority w:val="99"/>
    <w:unhideWhenUsed/>
    <w:rsid w:val="00E7509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E7509A"/>
    <w:rPr>
      <w:sz w:val="20"/>
      <w:szCs w:val="20"/>
    </w:rPr>
  </w:style>
  <w:style w:type="character" w:styleId="Odwoanieprzypisudolnego">
    <w:name w:val="footnote reference"/>
    <w:basedOn w:val="Domylnaczcionkaakapitu"/>
    <w:uiPriority w:val="99"/>
    <w:semiHidden/>
    <w:unhideWhenUsed/>
    <w:rsid w:val="00E7509A"/>
    <w:rPr>
      <w:vertAlign w:val="superscript"/>
    </w:rPr>
  </w:style>
  <w:style w:type="paragraph" w:styleId="Nagwek">
    <w:name w:val="header"/>
    <w:basedOn w:val="Normalny"/>
    <w:link w:val="NagwekZnak"/>
    <w:uiPriority w:val="99"/>
    <w:semiHidden/>
    <w:unhideWhenUsed/>
    <w:rsid w:val="00376272"/>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376272"/>
  </w:style>
  <w:style w:type="paragraph" w:styleId="Stopka">
    <w:name w:val="footer"/>
    <w:basedOn w:val="Normalny"/>
    <w:link w:val="StopkaZnak"/>
    <w:uiPriority w:val="99"/>
    <w:unhideWhenUsed/>
    <w:rsid w:val="003762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76272"/>
  </w:style>
  <w:style w:type="character" w:styleId="Tekstzastpczy">
    <w:name w:val="Placeholder Text"/>
    <w:basedOn w:val="Domylnaczcionkaakapitu"/>
    <w:uiPriority w:val="99"/>
    <w:semiHidden/>
    <w:rsid w:val="0039176B"/>
    <w:rPr>
      <w:color w:val="808080"/>
    </w:rPr>
  </w:style>
  <w:style w:type="paragraph" w:styleId="Tekstdymka">
    <w:name w:val="Balloon Text"/>
    <w:basedOn w:val="Normalny"/>
    <w:link w:val="TekstdymkaZnak"/>
    <w:uiPriority w:val="99"/>
    <w:semiHidden/>
    <w:unhideWhenUsed/>
    <w:rsid w:val="0039176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9176B"/>
    <w:rPr>
      <w:rFonts w:ascii="Tahoma" w:hAnsi="Tahoma" w:cs="Tahoma"/>
      <w:sz w:val="16"/>
      <w:szCs w:val="16"/>
    </w:rPr>
  </w:style>
  <w:style w:type="paragraph" w:styleId="Tytu">
    <w:name w:val="Title"/>
    <w:basedOn w:val="Normalny"/>
    <w:next w:val="Normalny"/>
    <w:link w:val="TytuZnak"/>
    <w:uiPriority w:val="10"/>
    <w:qFormat/>
    <w:rsid w:val="005014C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5014CE"/>
    <w:rPr>
      <w:rFonts w:asciiTheme="majorHAnsi" w:eastAsiaTheme="majorEastAsia" w:hAnsiTheme="majorHAnsi" w:cstheme="majorBidi"/>
      <w:color w:val="17365D" w:themeColor="text2" w:themeShade="BF"/>
      <w:spacing w:val="5"/>
      <w:kern w:val="28"/>
      <w:sz w:val="52"/>
      <w:szCs w:val="52"/>
    </w:rPr>
  </w:style>
  <w:style w:type="paragraph" w:styleId="Tekstprzypisukocowego">
    <w:name w:val="endnote text"/>
    <w:basedOn w:val="Normalny"/>
    <w:link w:val="TekstprzypisukocowegoZnak"/>
    <w:uiPriority w:val="99"/>
    <w:semiHidden/>
    <w:unhideWhenUsed/>
    <w:rsid w:val="00E0164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01641"/>
    <w:rPr>
      <w:sz w:val="20"/>
      <w:szCs w:val="20"/>
    </w:rPr>
  </w:style>
  <w:style w:type="character" w:styleId="Odwoanieprzypisukocowego">
    <w:name w:val="endnote reference"/>
    <w:basedOn w:val="Domylnaczcionkaakapitu"/>
    <w:uiPriority w:val="99"/>
    <w:semiHidden/>
    <w:unhideWhenUsed/>
    <w:rsid w:val="00E01641"/>
    <w:rPr>
      <w:vertAlign w:val="superscript"/>
    </w:rPr>
  </w:style>
  <w:style w:type="character" w:customStyle="1" w:styleId="Nagwek1Znak">
    <w:name w:val="Nagłówek 1 Znak"/>
    <w:aliases w:val="Header 1 Znak"/>
    <w:basedOn w:val="Domylnaczcionkaakapitu"/>
    <w:link w:val="Nagwek1"/>
    <w:uiPriority w:val="9"/>
    <w:rsid w:val="00717F5D"/>
    <w:rPr>
      <w:rFonts w:asciiTheme="majorHAnsi" w:eastAsiaTheme="majorEastAsia" w:hAnsiTheme="majorHAnsi" w:cstheme="majorBidi"/>
      <w:b/>
      <w:bCs/>
      <w:kern w:val="32"/>
      <w:sz w:val="32"/>
      <w:szCs w:val="32"/>
      <w:lang w:val="en-US"/>
    </w:rPr>
  </w:style>
  <w:style w:type="character" w:customStyle="1" w:styleId="Nagwek2Znak">
    <w:name w:val="Nagłówek 2 Znak"/>
    <w:aliases w:val="Header 2 Znak"/>
    <w:basedOn w:val="Domylnaczcionkaakapitu"/>
    <w:link w:val="Nagwek2"/>
    <w:uiPriority w:val="9"/>
    <w:rsid w:val="00717F5D"/>
    <w:rPr>
      <w:rFonts w:asciiTheme="majorHAnsi" w:eastAsiaTheme="majorEastAsia" w:hAnsiTheme="majorHAnsi" w:cstheme="majorBidi"/>
      <w:b/>
      <w:bCs/>
      <w:i/>
      <w:iCs/>
      <w:sz w:val="28"/>
      <w:szCs w:val="28"/>
      <w:lang w:val="en-US"/>
    </w:rPr>
  </w:style>
  <w:style w:type="character" w:customStyle="1" w:styleId="Nagwek3Znak">
    <w:name w:val="Nagłówek 3 Znak"/>
    <w:basedOn w:val="Domylnaczcionkaakapitu"/>
    <w:link w:val="Nagwek3"/>
    <w:uiPriority w:val="9"/>
    <w:semiHidden/>
    <w:rsid w:val="00717F5D"/>
    <w:rPr>
      <w:rFonts w:asciiTheme="majorHAnsi" w:eastAsiaTheme="majorEastAsia" w:hAnsiTheme="majorHAnsi" w:cstheme="majorBidi"/>
      <w:b/>
      <w:bCs/>
      <w:sz w:val="26"/>
      <w:szCs w:val="26"/>
      <w:lang w:val="en-US"/>
    </w:rPr>
  </w:style>
  <w:style w:type="character" w:customStyle="1" w:styleId="Nagwek4Znak">
    <w:name w:val="Nagłówek 4 Znak"/>
    <w:basedOn w:val="Domylnaczcionkaakapitu"/>
    <w:link w:val="Nagwek4"/>
    <w:uiPriority w:val="9"/>
    <w:semiHidden/>
    <w:rsid w:val="00717F5D"/>
    <w:rPr>
      <w:rFonts w:eastAsiaTheme="minorEastAsia"/>
      <w:b/>
      <w:bCs/>
      <w:sz w:val="28"/>
      <w:szCs w:val="28"/>
      <w:lang w:val="en-US"/>
    </w:rPr>
  </w:style>
  <w:style w:type="character" w:customStyle="1" w:styleId="Nagwek5Znak">
    <w:name w:val="Nagłówek 5 Znak"/>
    <w:basedOn w:val="Domylnaczcionkaakapitu"/>
    <w:link w:val="Nagwek5"/>
    <w:uiPriority w:val="9"/>
    <w:semiHidden/>
    <w:rsid w:val="00717F5D"/>
    <w:rPr>
      <w:rFonts w:eastAsiaTheme="minorEastAsia"/>
      <w:b/>
      <w:bCs/>
      <w:i/>
      <w:iCs/>
      <w:sz w:val="26"/>
      <w:szCs w:val="26"/>
      <w:lang w:val="en-US"/>
    </w:rPr>
  </w:style>
  <w:style w:type="character" w:customStyle="1" w:styleId="Nagwek6Znak">
    <w:name w:val="Nagłówek 6 Znak"/>
    <w:basedOn w:val="Domylnaczcionkaakapitu"/>
    <w:link w:val="Nagwek6"/>
    <w:rsid w:val="00717F5D"/>
    <w:rPr>
      <w:rFonts w:ascii="Times New Roman" w:eastAsia="Times New Roman" w:hAnsi="Times New Roman" w:cs="Times New Roman"/>
      <w:b/>
      <w:bCs/>
      <w:lang w:val="en-US"/>
    </w:rPr>
  </w:style>
  <w:style w:type="character" w:customStyle="1" w:styleId="Nagwek7Znak">
    <w:name w:val="Nagłówek 7 Znak"/>
    <w:basedOn w:val="Domylnaczcionkaakapitu"/>
    <w:link w:val="Nagwek7"/>
    <w:uiPriority w:val="9"/>
    <w:semiHidden/>
    <w:rsid w:val="00717F5D"/>
    <w:rPr>
      <w:rFonts w:eastAsiaTheme="minorEastAsia"/>
      <w:sz w:val="24"/>
      <w:szCs w:val="24"/>
      <w:lang w:val="en-US"/>
    </w:rPr>
  </w:style>
  <w:style w:type="character" w:customStyle="1" w:styleId="Nagwek8Znak">
    <w:name w:val="Nagłówek 8 Znak"/>
    <w:basedOn w:val="Domylnaczcionkaakapitu"/>
    <w:link w:val="Nagwek8"/>
    <w:uiPriority w:val="9"/>
    <w:semiHidden/>
    <w:rsid w:val="00717F5D"/>
    <w:rPr>
      <w:rFonts w:eastAsiaTheme="minorEastAsia"/>
      <w:i/>
      <w:iCs/>
      <w:sz w:val="24"/>
      <w:szCs w:val="24"/>
      <w:lang w:val="en-US"/>
    </w:rPr>
  </w:style>
  <w:style w:type="character" w:customStyle="1" w:styleId="Nagwek9Znak">
    <w:name w:val="Nagłówek 9 Znak"/>
    <w:basedOn w:val="Domylnaczcionkaakapitu"/>
    <w:link w:val="Nagwek9"/>
    <w:uiPriority w:val="9"/>
    <w:semiHidden/>
    <w:rsid w:val="00717F5D"/>
    <w:rPr>
      <w:rFonts w:asciiTheme="majorHAnsi" w:eastAsiaTheme="majorEastAsia" w:hAnsiTheme="majorHAnsi" w:cstheme="majorBidi"/>
      <w:lang w:val="en-US"/>
    </w:rPr>
  </w:style>
  <w:style w:type="character" w:styleId="Hipercze">
    <w:name w:val="Hyperlink"/>
    <w:basedOn w:val="Domylnaczcionkaakapitu"/>
    <w:uiPriority w:val="99"/>
    <w:unhideWhenUsed/>
    <w:rsid w:val="00942C4E"/>
    <w:rPr>
      <w:color w:val="0000FF" w:themeColor="hyperlink"/>
      <w:u w:val="single"/>
    </w:rPr>
  </w:style>
  <w:style w:type="paragraph" w:customStyle="1" w:styleId="tekstgl">
    <w:name w:val="tekstgl"/>
    <w:basedOn w:val="Normalny"/>
    <w:qFormat/>
    <w:rsid w:val="005D7F7D"/>
    <w:pPr>
      <w:keepNext/>
      <w:spacing w:after="100"/>
      <w:ind w:firstLine="284"/>
      <w:jc w:val="both"/>
    </w:pPr>
    <w:rPr>
      <w:rFonts w:asciiTheme="majorHAnsi" w:hAnsiTheme="majorHAnsi"/>
    </w:rPr>
  </w:style>
  <w:style w:type="paragraph" w:styleId="Poprawka">
    <w:name w:val="Revision"/>
    <w:hidden/>
    <w:uiPriority w:val="99"/>
    <w:semiHidden/>
    <w:rsid w:val="002B0C82"/>
    <w:pPr>
      <w:spacing w:after="0" w:line="240" w:lineRule="auto"/>
    </w:pPr>
  </w:style>
  <w:style w:type="character" w:styleId="Odwoaniedokomentarza">
    <w:name w:val="annotation reference"/>
    <w:basedOn w:val="Domylnaczcionkaakapitu"/>
    <w:uiPriority w:val="99"/>
    <w:semiHidden/>
    <w:unhideWhenUsed/>
    <w:rsid w:val="006F6C0A"/>
    <w:rPr>
      <w:sz w:val="16"/>
      <w:szCs w:val="16"/>
    </w:rPr>
  </w:style>
  <w:style w:type="paragraph" w:styleId="Tekstkomentarza">
    <w:name w:val="annotation text"/>
    <w:basedOn w:val="Normalny"/>
    <w:link w:val="TekstkomentarzaZnak"/>
    <w:uiPriority w:val="99"/>
    <w:semiHidden/>
    <w:unhideWhenUsed/>
    <w:rsid w:val="006F6C0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F6C0A"/>
    <w:rPr>
      <w:sz w:val="20"/>
      <w:szCs w:val="20"/>
    </w:rPr>
  </w:style>
  <w:style w:type="paragraph" w:styleId="Tematkomentarza">
    <w:name w:val="annotation subject"/>
    <w:basedOn w:val="Tekstkomentarza"/>
    <w:next w:val="Tekstkomentarza"/>
    <w:link w:val="TematkomentarzaZnak"/>
    <w:uiPriority w:val="99"/>
    <w:semiHidden/>
    <w:unhideWhenUsed/>
    <w:rsid w:val="006F6C0A"/>
    <w:rPr>
      <w:b/>
      <w:bCs/>
    </w:rPr>
  </w:style>
  <w:style w:type="character" w:customStyle="1" w:styleId="TematkomentarzaZnak">
    <w:name w:val="Temat komentarza Znak"/>
    <w:basedOn w:val="TekstkomentarzaZnak"/>
    <w:link w:val="Tematkomentarza"/>
    <w:uiPriority w:val="99"/>
    <w:semiHidden/>
    <w:rsid w:val="006F6C0A"/>
    <w:rPr>
      <w:b/>
      <w:bCs/>
    </w:rPr>
  </w:style>
  <w:style w:type="character" w:styleId="UyteHipercze">
    <w:name w:val="FollowedHyperlink"/>
    <w:basedOn w:val="Domylnaczcionkaakapitu"/>
    <w:uiPriority w:val="99"/>
    <w:semiHidden/>
    <w:unhideWhenUsed/>
    <w:rsid w:val="00567B3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6322220">
      <w:bodyDiv w:val="1"/>
      <w:marLeft w:val="0"/>
      <w:marRight w:val="0"/>
      <w:marTop w:val="0"/>
      <w:marBottom w:val="0"/>
      <w:divBdr>
        <w:top w:val="none" w:sz="0" w:space="0" w:color="auto"/>
        <w:left w:val="none" w:sz="0" w:space="0" w:color="auto"/>
        <w:bottom w:val="none" w:sz="0" w:space="0" w:color="auto"/>
        <w:right w:val="none" w:sz="0" w:space="0" w:color="auto"/>
      </w:divBdr>
    </w:div>
    <w:div w:id="114714122">
      <w:bodyDiv w:val="1"/>
      <w:marLeft w:val="0"/>
      <w:marRight w:val="0"/>
      <w:marTop w:val="0"/>
      <w:marBottom w:val="0"/>
      <w:divBdr>
        <w:top w:val="none" w:sz="0" w:space="0" w:color="auto"/>
        <w:left w:val="none" w:sz="0" w:space="0" w:color="auto"/>
        <w:bottom w:val="none" w:sz="0" w:space="0" w:color="auto"/>
        <w:right w:val="none" w:sz="0" w:space="0" w:color="auto"/>
      </w:divBdr>
    </w:div>
    <w:div w:id="199636448">
      <w:bodyDiv w:val="1"/>
      <w:marLeft w:val="0"/>
      <w:marRight w:val="0"/>
      <w:marTop w:val="0"/>
      <w:marBottom w:val="0"/>
      <w:divBdr>
        <w:top w:val="none" w:sz="0" w:space="0" w:color="auto"/>
        <w:left w:val="none" w:sz="0" w:space="0" w:color="auto"/>
        <w:bottom w:val="none" w:sz="0" w:space="0" w:color="auto"/>
        <w:right w:val="none" w:sz="0" w:space="0" w:color="auto"/>
      </w:divBdr>
    </w:div>
    <w:div w:id="329330390">
      <w:bodyDiv w:val="1"/>
      <w:marLeft w:val="0"/>
      <w:marRight w:val="0"/>
      <w:marTop w:val="0"/>
      <w:marBottom w:val="0"/>
      <w:divBdr>
        <w:top w:val="none" w:sz="0" w:space="0" w:color="auto"/>
        <w:left w:val="none" w:sz="0" w:space="0" w:color="auto"/>
        <w:bottom w:val="none" w:sz="0" w:space="0" w:color="auto"/>
        <w:right w:val="none" w:sz="0" w:space="0" w:color="auto"/>
      </w:divBdr>
    </w:div>
    <w:div w:id="411857098">
      <w:bodyDiv w:val="1"/>
      <w:marLeft w:val="0"/>
      <w:marRight w:val="0"/>
      <w:marTop w:val="0"/>
      <w:marBottom w:val="0"/>
      <w:divBdr>
        <w:top w:val="none" w:sz="0" w:space="0" w:color="auto"/>
        <w:left w:val="none" w:sz="0" w:space="0" w:color="auto"/>
        <w:bottom w:val="none" w:sz="0" w:space="0" w:color="auto"/>
        <w:right w:val="none" w:sz="0" w:space="0" w:color="auto"/>
      </w:divBdr>
    </w:div>
    <w:div w:id="550655880">
      <w:bodyDiv w:val="1"/>
      <w:marLeft w:val="0"/>
      <w:marRight w:val="0"/>
      <w:marTop w:val="0"/>
      <w:marBottom w:val="0"/>
      <w:divBdr>
        <w:top w:val="none" w:sz="0" w:space="0" w:color="auto"/>
        <w:left w:val="none" w:sz="0" w:space="0" w:color="auto"/>
        <w:bottom w:val="none" w:sz="0" w:space="0" w:color="auto"/>
        <w:right w:val="none" w:sz="0" w:space="0" w:color="auto"/>
      </w:divBdr>
    </w:div>
    <w:div w:id="581137909">
      <w:bodyDiv w:val="1"/>
      <w:marLeft w:val="0"/>
      <w:marRight w:val="0"/>
      <w:marTop w:val="0"/>
      <w:marBottom w:val="0"/>
      <w:divBdr>
        <w:top w:val="none" w:sz="0" w:space="0" w:color="auto"/>
        <w:left w:val="none" w:sz="0" w:space="0" w:color="auto"/>
        <w:bottom w:val="none" w:sz="0" w:space="0" w:color="auto"/>
        <w:right w:val="none" w:sz="0" w:space="0" w:color="auto"/>
      </w:divBdr>
    </w:div>
    <w:div w:id="705179372">
      <w:bodyDiv w:val="1"/>
      <w:marLeft w:val="0"/>
      <w:marRight w:val="0"/>
      <w:marTop w:val="0"/>
      <w:marBottom w:val="0"/>
      <w:divBdr>
        <w:top w:val="none" w:sz="0" w:space="0" w:color="auto"/>
        <w:left w:val="none" w:sz="0" w:space="0" w:color="auto"/>
        <w:bottom w:val="none" w:sz="0" w:space="0" w:color="auto"/>
        <w:right w:val="none" w:sz="0" w:space="0" w:color="auto"/>
      </w:divBdr>
    </w:div>
    <w:div w:id="736822412">
      <w:bodyDiv w:val="1"/>
      <w:marLeft w:val="0"/>
      <w:marRight w:val="0"/>
      <w:marTop w:val="0"/>
      <w:marBottom w:val="0"/>
      <w:divBdr>
        <w:top w:val="none" w:sz="0" w:space="0" w:color="auto"/>
        <w:left w:val="none" w:sz="0" w:space="0" w:color="auto"/>
        <w:bottom w:val="none" w:sz="0" w:space="0" w:color="auto"/>
        <w:right w:val="none" w:sz="0" w:space="0" w:color="auto"/>
      </w:divBdr>
    </w:div>
    <w:div w:id="853423737">
      <w:bodyDiv w:val="1"/>
      <w:marLeft w:val="0"/>
      <w:marRight w:val="0"/>
      <w:marTop w:val="0"/>
      <w:marBottom w:val="0"/>
      <w:divBdr>
        <w:top w:val="none" w:sz="0" w:space="0" w:color="auto"/>
        <w:left w:val="none" w:sz="0" w:space="0" w:color="auto"/>
        <w:bottom w:val="none" w:sz="0" w:space="0" w:color="auto"/>
        <w:right w:val="none" w:sz="0" w:space="0" w:color="auto"/>
      </w:divBdr>
    </w:div>
    <w:div w:id="1149899760">
      <w:bodyDiv w:val="1"/>
      <w:marLeft w:val="0"/>
      <w:marRight w:val="0"/>
      <w:marTop w:val="0"/>
      <w:marBottom w:val="0"/>
      <w:divBdr>
        <w:top w:val="none" w:sz="0" w:space="0" w:color="auto"/>
        <w:left w:val="none" w:sz="0" w:space="0" w:color="auto"/>
        <w:bottom w:val="none" w:sz="0" w:space="0" w:color="auto"/>
        <w:right w:val="none" w:sz="0" w:space="0" w:color="auto"/>
      </w:divBdr>
    </w:div>
    <w:div w:id="1222718967">
      <w:bodyDiv w:val="1"/>
      <w:marLeft w:val="0"/>
      <w:marRight w:val="0"/>
      <w:marTop w:val="0"/>
      <w:marBottom w:val="0"/>
      <w:divBdr>
        <w:top w:val="none" w:sz="0" w:space="0" w:color="auto"/>
        <w:left w:val="none" w:sz="0" w:space="0" w:color="auto"/>
        <w:bottom w:val="none" w:sz="0" w:space="0" w:color="auto"/>
        <w:right w:val="none" w:sz="0" w:space="0" w:color="auto"/>
      </w:divBdr>
    </w:div>
    <w:div w:id="1246569197">
      <w:bodyDiv w:val="1"/>
      <w:marLeft w:val="0"/>
      <w:marRight w:val="0"/>
      <w:marTop w:val="0"/>
      <w:marBottom w:val="0"/>
      <w:divBdr>
        <w:top w:val="none" w:sz="0" w:space="0" w:color="auto"/>
        <w:left w:val="none" w:sz="0" w:space="0" w:color="auto"/>
        <w:bottom w:val="none" w:sz="0" w:space="0" w:color="auto"/>
        <w:right w:val="none" w:sz="0" w:space="0" w:color="auto"/>
      </w:divBdr>
    </w:div>
    <w:div w:id="1284002822">
      <w:bodyDiv w:val="1"/>
      <w:marLeft w:val="0"/>
      <w:marRight w:val="0"/>
      <w:marTop w:val="0"/>
      <w:marBottom w:val="0"/>
      <w:divBdr>
        <w:top w:val="none" w:sz="0" w:space="0" w:color="auto"/>
        <w:left w:val="none" w:sz="0" w:space="0" w:color="auto"/>
        <w:bottom w:val="none" w:sz="0" w:space="0" w:color="auto"/>
        <w:right w:val="none" w:sz="0" w:space="0" w:color="auto"/>
      </w:divBdr>
    </w:div>
    <w:div w:id="1401906598">
      <w:bodyDiv w:val="1"/>
      <w:marLeft w:val="0"/>
      <w:marRight w:val="0"/>
      <w:marTop w:val="0"/>
      <w:marBottom w:val="0"/>
      <w:divBdr>
        <w:top w:val="none" w:sz="0" w:space="0" w:color="auto"/>
        <w:left w:val="none" w:sz="0" w:space="0" w:color="auto"/>
        <w:bottom w:val="none" w:sz="0" w:space="0" w:color="auto"/>
        <w:right w:val="none" w:sz="0" w:space="0" w:color="auto"/>
      </w:divBdr>
    </w:div>
    <w:div w:id="1509904309">
      <w:bodyDiv w:val="1"/>
      <w:marLeft w:val="0"/>
      <w:marRight w:val="0"/>
      <w:marTop w:val="0"/>
      <w:marBottom w:val="0"/>
      <w:divBdr>
        <w:top w:val="none" w:sz="0" w:space="0" w:color="auto"/>
        <w:left w:val="none" w:sz="0" w:space="0" w:color="auto"/>
        <w:bottom w:val="none" w:sz="0" w:space="0" w:color="auto"/>
        <w:right w:val="none" w:sz="0" w:space="0" w:color="auto"/>
      </w:divBdr>
    </w:div>
    <w:div w:id="1753234896">
      <w:bodyDiv w:val="1"/>
      <w:marLeft w:val="0"/>
      <w:marRight w:val="0"/>
      <w:marTop w:val="0"/>
      <w:marBottom w:val="0"/>
      <w:divBdr>
        <w:top w:val="none" w:sz="0" w:space="0" w:color="auto"/>
        <w:left w:val="none" w:sz="0" w:space="0" w:color="auto"/>
        <w:bottom w:val="none" w:sz="0" w:space="0" w:color="auto"/>
        <w:right w:val="none" w:sz="0" w:space="0" w:color="auto"/>
      </w:divBdr>
    </w:div>
    <w:div w:id="1978796136">
      <w:bodyDiv w:val="1"/>
      <w:marLeft w:val="0"/>
      <w:marRight w:val="0"/>
      <w:marTop w:val="0"/>
      <w:marBottom w:val="0"/>
      <w:divBdr>
        <w:top w:val="none" w:sz="0" w:space="0" w:color="auto"/>
        <w:left w:val="none" w:sz="0" w:space="0" w:color="auto"/>
        <w:bottom w:val="none" w:sz="0" w:space="0" w:color="auto"/>
        <w:right w:val="none" w:sz="0" w:space="0" w:color="auto"/>
      </w:divBdr>
    </w:div>
    <w:div w:id="201440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hart" Target="charts/chart3.xml"/><Relationship Id="rId18" Type="http://schemas.openxmlformats.org/officeDocument/2006/relationships/chart" Target="charts/chart8.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chart" Target="charts/chart2.xml"/><Relationship Id="rId17" Type="http://schemas.openxmlformats.org/officeDocument/2006/relationships/chart" Target="charts/chart7.xml"/><Relationship Id="rId2" Type="http://schemas.openxmlformats.org/officeDocument/2006/relationships/customXml" Target="../customXml/item2.xml"/><Relationship Id="rId16" Type="http://schemas.openxmlformats.org/officeDocument/2006/relationships/chart" Target="charts/chart6.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chart" Target="charts/chart5.xml"/><Relationship Id="rId23" Type="http://schemas.openxmlformats.org/officeDocument/2006/relationships/theme" Target="theme/theme1.xml"/><Relationship Id="rId10" Type="http://schemas.openxmlformats.org/officeDocument/2006/relationships/chart" Target="charts/chart1.xml"/><Relationship Id="rId19" Type="http://schemas.openxmlformats.org/officeDocument/2006/relationships/image" Target="media/image2.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hart" Target="charts/chart4.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regional_policy/sources/docgener/studies/pdf/urban/stateofcities_2010.pdf"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Arkusz_programu_Microsoft_Office_Excel1.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D:\Andrzej\poznan\NSP2011\trob.xlsx" TargetMode="External"/></Relationships>
</file>

<file path=word/charts/_rels/chart3.xml.rels><?xml version="1.0" encoding="UTF-8" standalone="yes"?>
<Relationships xmlns="http://schemas.openxmlformats.org/package/2006/relationships"><Relationship Id="rId1" Type="http://schemas.openxmlformats.org/officeDocument/2006/relationships/package" Target="../embeddings/Arkusz_programu_Microsoft_Office_Excel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Arkusz_programu_Microsoft_Office_Excel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Arkusz_programu_Microsoft_Office_Excel4.xlsx"/></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Arkusz_programu_Microsoft_Office_Excel5.xlsx"/></Relationships>
</file>

<file path=word/charts/_rels/chart7.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package" Target="../embeddings/Arkusz_programu_Microsoft_Office_Excel6.xlsx"/></Relationships>
</file>

<file path=word/charts/_rels/chart8.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package" Target="../embeddings/Arkusz_programu_Microsoft_Office_Excel7.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pl-PL"/>
  <c:chart>
    <c:autoTitleDeleted val="1"/>
    <c:view3D>
      <c:rAngAx val="1"/>
    </c:view3D>
    <c:floor>
      <c:spPr>
        <a:solidFill>
          <a:schemeClr val="bg1">
            <a:lumMod val="85000"/>
          </a:schemeClr>
        </a:solidFill>
      </c:spPr>
    </c:floor>
    <c:backWall>
      <c:spPr>
        <a:ln>
          <a:solidFill>
            <a:schemeClr val="bg1">
              <a:lumMod val="75000"/>
            </a:schemeClr>
          </a:solidFill>
        </a:ln>
      </c:spPr>
    </c:backWall>
    <c:plotArea>
      <c:layout/>
      <c:bar3DChart>
        <c:barDir val="col"/>
        <c:grouping val="clustered"/>
        <c:ser>
          <c:idx val="0"/>
          <c:order val="0"/>
          <c:tx>
            <c:strRef>
              <c:f>Arkusz1!$B$1</c:f>
              <c:strCache>
                <c:ptCount val="1"/>
                <c:pt idx="0">
                  <c:v>Seria 1</c:v>
                </c:pt>
              </c:strCache>
            </c:strRef>
          </c:tx>
          <c:dLbls>
            <c:dLbl>
              <c:idx val="0"/>
              <c:layout>
                <c:manualLayout>
                  <c:x val="0"/>
                  <c:y val="0.30158730158730507"/>
                </c:manualLayout>
              </c:layout>
              <c:showVal val="1"/>
            </c:dLbl>
            <c:dLbl>
              <c:idx val="1"/>
              <c:layout>
                <c:manualLayout>
                  <c:x val="2.1218890680034569E-17"/>
                  <c:y val="0.26984126984126988"/>
                </c:manualLayout>
              </c:layout>
              <c:showVal val="1"/>
            </c:dLbl>
            <c:dLbl>
              <c:idx val="2"/>
              <c:layout>
                <c:manualLayout>
                  <c:x val="0"/>
                  <c:y val="0.2380952380952408"/>
                </c:manualLayout>
              </c:layout>
              <c:showVal val="1"/>
            </c:dLbl>
            <c:dLbl>
              <c:idx val="3"/>
              <c:layout>
                <c:manualLayout>
                  <c:x val="0"/>
                  <c:y val="0.24999968753905996"/>
                </c:manualLayout>
              </c:layout>
              <c:showVal val="1"/>
            </c:dLbl>
            <c:dLbl>
              <c:idx val="4"/>
              <c:layout>
                <c:manualLayout>
                  <c:x val="4.243778136006894E-17"/>
                  <c:y val="0.28968253968253982"/>
                </c:manualLayout>
              </c:layout>
              <c:showVal val="1"/>
            </c:dLbl>
            <c:dLbl>
              <c:idx val="5"/>
              <c:layout>
                <c:manualLayout>
                  <c:x val="0"/>
                  <c:y val="0.26984126984126988"/>
                </c:manualLayout>
              </c:layout>
              <c:showVal val="1"/>
            </c:dLbl>
            <c:dLbl>
              <c:idx val="6"/>
              <c:layout>
                <c:manualLayout>
                  <c:x val="0"/>
                  <c:y val="0.31349206349208014"/>
                </c:manualLayout>
              </c:layout>
              <c:showVal val="1"/>
            </c:dLbl>
            <c:dLbl>
              <c:idx val="7"/>
              <c:layout>
                <c:manualLayout>
                  <c:x val="0"/>
                  <c:y val="0.23809492563429571"/>
                </c:manualLayout>
              </c:layout>
              <c:showVal val="1"/>
            </c:dLbl>
            <c:dLbl>
              <c:idx val="8"/>
              <c:layout>
                <c:manualLayout>
                  <c:x val="0"/>
                  <c:y val="0.24603174603174621"/>
                </c:manualLayout>
              </c:layout>
              <c:showVal val="1"/>
            </c:dLbl>
            <c:dLbl>
              <c:idx val="9"/>
              <c:layout>
                <c:manualLayout>
                  <c:x val="0"/>
                  <c:y val="0.2301587301587302"/>
                </c:manualLayout>
              </c:layout>
              <c:showVal val="1"/>
            </c:dLbl>
            <c:dLbl>
              <c:idx val="10"/>
              <c:layout>
                <c:manualLayout>
                  <c:x val="0"/>
                  <c:y val="0.26190476190476858"/>
                </c:manualLayout>
              </c:layout>
              <c:showVal val="1"/>
            </c:dLbl>
            <c:dLbl>
              <c:idx val="11"/>
              <c:layout>
                <c:manualLayout>
                  <c:x val="0"/>
                  <c:y val="0.31349206349206876"/>
                </c:manualLayout>
              </c:layout>
              <c:showVal val="1"/>
            </c:dLbl>
            <c:dLbl>
              <c:idx val="12"/>
              <c:layout>
                <c:manualLayout>
                  <c:x val="0"/>
                  <c:y val="0.22619047619047791"/>
                </c:manualLayout>
              </c:layout>
              <c:showVal val="1"/>
            </c:dLbl>
            <c:dLbl>
              <c:idx val="13"/>
              <c:layout>
                <c:manualLayout>
                  <c:x val="0"/>
                  <c:y val="0.2301587301587302"/>
                </c:manualLayout>
              </c:layout>
              <c:showVal val="1"/>
            </c:dLbl>
            <c:dLbl>
              <c:idx val="14"/>
              <c:layout>
                <c:manualLayout>
                  <c:x val="0"/>
                  <c:y val="0.26587301587301587"/>
                </c:manualLayout>
              </c:layout>
              <c:showVal val="1"/>
            </c:dLbl>
            <c:dLbl>
              <c:idx val="15"/>
              <c:layout>
                <c:manualLayout>
                  <c:x val="0"/>
                  <c:y val="0.25793650793650796"/>
                </c:manualLayout>
              </c:layout>
              <c:showVal val="1"/>
            </c:dLbl>
            <c:txPr>
              <a:bodyPr rot="-5400000" vert="horz"/>
              <a:lstStyle/>
              <a:p>
                <a:pPr>
                  <a:defRPr b="0" i="0">
                    <a:solidFill>
                      <a:schemeClr val="bg1"/>
                    </a:solidFill>
                  </a:defRPr>
                </a:pPr>
                <a:endParaRPr lang="pl-PL"/>
              </a:p>
            </c:txPr>
            <c:showVal val="1"/>
          </c:dLbls>
          <c:cat>
            <c:strRef>
              <c:f>Arkusz1!$A$2:$A$17</c:f>
              <c:strCache>
                <c:ptCount val="16"/>
                <c:pt idx="0">
                  <c:v>Dolnośląskie</c:v>
                </c:pt>
                <c:pt idx="1">
                  <c:v>Kujawsko–pomorskie</c:v>
                </c:pt>
                <c:pt idx="2">
                  <c:v>Lubelskie</c:v>
                </c:pt>
                <c:pt idx="3">
                  <c:v>Lubuskie</c:v>
                </c:pt>
                <c:pt idx="4">
                  <c:v>Łódzkie</c:v>
                </c:pt>
                <c:pt idx="5">
                  <c:v>Małopolskie</c:v>
                </c:pt>
                <c:pt idx="6">
                  <c:v>Mazowieckie</c:v>
                </c:pt>
                <c:pt idx="7">
                  <c:v>Opolskie</c:v>
                </c:pt>
                <c:pt idx="8">
                  <c:v>Podkarpackie</c:v>
                </c:pt>
                <c:pt idx="9">
                  <c:v>Podlaskie</c:v>
                </c:pt>
                <c:pt idx="10">
                  <c:v>Pomorskie</c:v>
                </c:pt>
                <c:pt idx="11">
                  <c:v>Śląskie</c:v>
                </c:pt>
                <c:pt idx="12">
                  <c:v>Świętokrzyskie</c:v>
                </c:pt>
                <c:pt idx="13">
                  <c:v>Warmińsko–mazurskie</c:v>
                </c:pt>
                <c:pt idx="14">
                  <c:v>Wielkopolskie</c:v>
                </c:pt>
                <c:pt idx="15">
                  <c:v>Zachodniopomorskie</c:v>
                </c:pt>
              </c:strCache>
            </c:strRef>
          </c:cat>
          <c:val>
            <c:numRef>
              <c:f>Arkusz1!$B$2:$B$17</c:f>
              <c:numCache>
                <c:formatCode>0.0</c:formatCode>
                <c:ptCount val="16"/>
                <c:pt idx="0">
                  <c:v>63.4</c:v>
                </c:pt>
                <c:pt idx="1">
                  <c:v>58.3</c:v>
                </c:pt>
                <c:pt idx="2">
                  <c:v>50.2</c:v>
                </c:pt>
                <c:pt idx="3">
                  <c:v>56.2</c:v>
                </c:pt>
                <c:pt idx="4">
                  <c:v>62.9</c:v>
                </c:pt>
                <c:pt idx="5">
                  <c:v>60.6</c:v>
                </c:pt>
                <c:pt idx="6">
                  <c:v>66.900000000000006</c:v>
                </c:pt>
                <c:pt idx="7">
                  <c:v>52.4</c:v>
                </c:pt>
                <c:pt idx="8">
                  <c:v>54.2</c:v>
                </c:pt>
                <c:pt idx="9">
                  <c:v>48.7</c:v>
                </c:pt>
                <c:pt idx="10">
                  <c:v>63.3</c:v>
                </c:pt>
                <c:pt idx="11">
                  <c:v>70.7</c:v>
                </c:pt>
                <c:pt idx="12">
                  <c:v>52.4</c:v>
                </c:pt>
                <c:pt idx="13">
                  <c:v>50.5</c:v>
                </c:pt>
                <c:pt idx="14">
                  <c:v>60.2</c:v>
                </c:pt>
                <c:pt idx="15">
                  <c:v>56.7</c:v>
                </c:pt>
              </c:numCache>
            </c:numRef>
          </c:val>
        </c:ser>
        <c:gapWidth val="66"/>
        <c:shape val="box"/>
        <c:axId val="163666560"/>
        <c:axId val="163799808"/>
        <c:axId val="0"/>
      </c:bar3DChart>
      <c:catAx>
        <c:axId val="163666560"/>
        <c:scaling>
          <c:orientation val="minMax"/>
        </c:scaling>
        <c:axPos val="b"/>
        <c:tickLblPos val="nextTo"/>
        <c:crossAx val="163799808"/>
        <c:crosses val="autoZero"/>
        <c:auto val="1"/>
        <c:lblAlgn val="ctr"/>
        <c:lblOffset val="100"/>
      </c:catAx>
      <c:valAx>
        <c:axId val="163799808"/>
        <c:scaling>
          <c:orientation val="minMax"/>
        </c:scaling>
        <c:axPos val="l"/>
        <c:majorGridlines>
          <c:spPr>
            <a:ln>
              <a:solidFill>
                <a:schemeClr val="bg1">
                  <a:lumMod val="85000"/>
                </a:schemeClr>
              </a:solidFill>
            </a:ln>
          </c:spPr>
        </c:majorGridlines>
        <c:numFmt formatCode="0.0" sourceLinked="1"/>
        <c:tickLblPos val="nextTo"/>
        <c:crossAx val="163666560"/>
        <c:crosses val="autoZero"/>
        <c:crossBetween val="between"/>
      </c:valAx>
    </c:plotArea>
    <c:plotVisOnly val="1"/>
  </c:chart>
  <c:spPr>
    <a:ln>
      <a:noFill/>
    </a:ln>
  </c:spPr>
  <c:externalData r:id="rId1"/>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pl-PL"/>
  <c:chart>
    <c:plotArea>
      <c:layout>
        <c:manualLayout>
          <c:layoutTarget val="inner"/>
          <c:xMode val="edge"/>
          <c:yMode val="edge"/>
          <c:x val="0.23902331538381932"/>
          <c:y val="3.1863644585107882E-2"/>
          <c:w val="0.71720347358866143"/>
          <c:h val="0.85211893236490965"/>
        </c:manualLayout>
      </c:layout>
      <c:barChart>
        <c:barDir val="bar"/>
        <c:grouping val="clustered"/>
        <c:ser>
          <c:idx val="0"/>
          <c:order val="0"/>
          <c:spPr>
            <a:solidFill>
              <a:schemeClr val="accent2">
                <a:lumMod val="60000"/>
                <a:lumOff val="40000"/>
              </a:schemeClr>
            </a:solidFill>
          </c:spPr>
          <c:dLbls>
            <c:dLbl>
              <c:idx val="6"/>
              <c:layout>
                <c:manualLayout>
                  <c:x val="-4.1975304969595175E-3"/>
                  <c:y val="-5.8905038815869571E-3"/>
                </c:manualLayout>
              </c:layout>
              <c:showVal val="1"/>
            </c:dLbl>
            <c:dLbl>
              <c:idx val="10"/>
              <c:layout>
                <c:manualLayout>
                  <c:x val="2.0987652484797652E-3"/>
                  <c:y val="-2.9452519407934812E-3"/>
                </c:manualLayout>
              </c:layout>
              <c:showVal val="1"/>
            </c:dLbl>
            <c:numFmt formatCode="#,##0" sourceLinked="0"/>
            <c:txPr>
              <a:bodyPr/>
              <a:lstStyle/>
              <a:p>
                <a:pPr>
                  <a:defRPr b="0"/>
                </a:pPr>
                <a:endParaRPr lang="pl-PL"/>
              </a:p>
            </c:txPr>
            <c:showVal val="1"/>
          </c:dLbls>
          <c:cat>
            <c:strRef>
              <c:f>tablgmw!$I$3:$I$19</c:f>
              <c:strCache>
                <c:ptCount val="17"/>
                <c:pt idx="0">
                  <c:v>Zachodniopomorskie</c:v>
                </c:pt>
                <c:pt idx="1">
                  <c:v>Wielkopolskie</c:v>
                </c:pt>
                <c:pt idx="2">
                  <c:v>Warmińsko–mazurskie</c:v>
                </c:pt>
                <c:pt idx="3">
                  <c:v>Świętokrzyskie</c:v>
                </c:pt>
                <c:pt idx="4">
                  <c:v>Śląskie</c:v>
                </c:pt>
                <c:pt idx="5">
                  <c:v>Pomorskie</c:v>
                </c:pt>
                <c:pt idx="6">
                  <c:v>Podlaskie</c:v>
                </c:pt>
                <c:pt idx="7">
                  <c:v>Podkarpackie</c:v>
                </c:pt>
                <c:pt idx="8">
                  <c:v>Opolskie</c:v>
                </c:pt>
                <c:pt idx="9">
                  <c:v>Mazowieckie</c:v>
                </c:pt>
                <c:pt idx="10">
                  <c:v>Małopolskie</c:v>
                </c:pt>
                <c:pt idx="11">
                  <c:v>Łódzkie</c:v>
                </c:pt>
                <c:pt idx="12">
                  <c:v>Lubuskie</c:v>
                </c:pt>
                <c:pt idx="13">
                  <c:v>Lubelskie</c:v>
                </c:pt>
                <c:pt idx="14">
                  <c:v>Kujawsko–pomorskie</c:v>
                </c:pt>
                <c:pt idx="15">
                  <c:v>Dolnośląskie</c:v>
                </c:pt>
                <c:pt idx="16">
                  <c:v>Polska</c:v>
                </c:pt>
              </c:strCache>
            </c:strRef>
          </c:cat>
          <c:val>
            <c:numRef>
              <c:f>tablgmw!$J$3:$J$19</c:f>
              <c:numCache>
                <c:formatCode>0.0</c:formatCode>
                <c:ptCount val="17"/>
                <c:pt idx="0">
                  <c:v>32.88162941501114</c:v>
                </c:pt>
                <c:pt idx="1">
                  <c:v>40.130903667311394</c:v>
                </c:pt>
                <c:pt idx="2">
                  <c:v>31.341518662973886</c:v>
                </c:pt>
                <c:pt idx="3">
                  <c:v>17.239446700456192</c:v>
                </c:pt>
                <c:pt idx="4">
                  <c:v>23.524495066147903</c:v>
                </c:pt>
                <c:pt idx="5">
                  <c:v>30.405121823671589</c:v>
                </c:pt>
                <c:pt idx="6">
                  <c:v>52.17175559788344</c:v>
                </c:pt>
                <c:pt idx="7">
                  <c:v>13.729744591139626</c:v>
                </c:pt>
                <c:pt idx="8">
                  <c:v>25.566978715761767</c:v>
                </c:pt>
                <c:pt idx="9">
                  <c:v>25.652383526008435</c:v>
                </c:pt>
                <c:pt idx="10">
                  <c:v>14.581932605486772</c:v>
                </c:pt>
                <c:pt idx="11">
                  <c:v>36.514176844306675</c:v>
                </c:pt>
                <c:pt idx="12">
                  <c:v>29.837126368743881</c:v>
                </c:pt>
                <c:pt idx="13">
                  <c:v>23.252310177260412</c:v>
                </c:pt>
                <c:pt idx="14">
                  <c:v>31.770998345156531</c:v>
                </c:pt>
                <c:pt idx="15">
                  <c:v>35.725207615859652</c:v>
                </c:pt>
                <c:pt idx="16">
                  <c:v>27.117329856282847</c:v>
                </c:pt>
              </c:numCache>
            </c:numRef>
          </c:val>
        </c:ser>
        <c:axId val="164236672"/>
        <c:axId val="167019648"/>
      </c:barChart>
      <c:catAx>
        <c:axId val="164236672"/>
        <c:scaling>
          <c:orientation val="minMax"/>
        </c:scaling>
        <c:axPos val="l"/>
        <c:tickLblPos val="nextTo"/>
        <c:crossAx val="167019648"/>
        <c:crosses val="autoZero"/>
        <c:auto val="1"/>
        <c:lblAlgn val="ctr"/>
        <c:lblOffset val="100"/>
      </c:catAx>
      <c:valAx>
        <c:axId val="167019648"/>
        <c:scaling>
          <c:orientation val="minMax"/>
        </c:scaling>
        <c:axPos val="b"/>
        <c:majorGridlines>
          <c:spPr>
            <a:ln>
              <a:solidFill>
                <a:schemeClr val="bg1">
                  <a:lumMod val="85000"/>
                </a:schemeClr>
              </a:solidFill>
            </a:ln>
          </c:spPr>
        </c:majorGridlines>
        <c:numFmt formatCode="0" sourceLinked="0"/>
        <c:tickLblPos val="nextTo"/>
        <c:spPr>
          <a:ln>
            <a:solidFill>
              <a:schemeClr val="tx1"/>
            </a:solidFill>
          </a:ln>
        </c:spPr>
        <c:crossAx val="164236672"/>
        <c:crosses val="autoZero"/>
        <c:crossBetween val="between"/>
        <c:majorUnit val="5"/>
      </c:valAx>
      <c:spPr>
        <a:ln>
          <a:solidFill>
            <a:schemeClr val="tx1"/>
          </a:solidFill>
        </a:ln>
      </c:spPr>
    </c:plotArea>
    <c:plotVisOnly val="1"/>
  </c:chart>
  <c:spPr>
    <a:ln>
      <a:noFill/>
    </a:ln>
  </c:spPr>
  <c:externalData r:id="rId1"/>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pl-PL"/>
  <c:chart>
    <c:autoTitleDeleted val="1"/>
    <c:view3D>
      <c:rotX val="50"/>
      <c:perspective val="30"/>
    </c:view3D>
    <c:plotArea>
      <c:layout>
        <c:manualLayout>
          <c:layoutTarget val="inner"/>
          <c:xMode val="edge"/>
          <c:yMode val="edge"/>
          <c:x val="9.3292277149273725E-2"/>
          <c:y val="0.15017671953326053"/>
          <c:w val="0.82714077879144654"/>
          <c:h val="0.80390044725405663"/>
        </c:manualLayout>
      </c:layout>
      <c:pie3DChart>
        <c:varyColors val="1"/>
        <c:ser>
          <c:idx val="0"/>
          <c:order val="0"/>
          <c:tx>
            <c:strRef>
              <c:f>Arkusz1!$B$1</c:f>
              <c:strCache>
                <c:ptCount val="1"/>
                <c:pt idx="0">
                  <c:v>Kolumna1</c:v>
                </c:pt>
              </c:strCache>
            </c:strRef>
          </c:tx>
          <c:spPr>
            <a:scene3d>
              <a:camera prst="orthographicFront"/>
              <a:lightRig rig="threePt" dir="t"/>
            </a:scene3d>
            <a:sp3d>
              <a:bevelT w="82550"/>
              <a:bevelB w="0"/>
            </a:sp3d>
          </c:spPr>
          <c:dPt>
            <c:idx val="0"/>
            <c:spPr>
              <a:solidFill>
                <a:schemeClr val="accent2">
                  <a:lumMod val="50000"/>
                </a:schemeClr>
              </a:solidFill>
              <a:scene3d>
                <a:camera prst="orthographicFront"/>
                <a:lightRig rig="threePt" dir="t"/>
              </a:scene3d>
              <a:sp3d>
                <a:bevelT w="82550"/>
                <a:bevelB w="0"/>
              </a:sp3d>
            </c:spPr>
          </c:dPt>
          <c:dPt>
            <c:idx val="1"/>
            <c:spPr>
              <a:solidFill>
                <a:schemeClr val="accent2">
                  <a:lumMod val="75000"/>
                </a:schemeClr>
              </a:solidFill>
              <a:scene3d>
                <a:camera prst="orthographicFront"/>
                <a:lightRig rig="threePt" dir="t"/>
              </a:scene3d>
              <a:sp3d>
                <a:bevelT w="82550"/>
                <a:bevelB w="0"/>
              </a:sp3d>
            </c:spPr>
          </c:dPt>
          <c:dPt>
            <c:idx val="2"/>
            <c:spPr>
              <a:solidFill>
                <a:schemeClr val="accent2">
                  <a:lumMod val="60000"/>
                  <a:lumOff val="40000"/>
                </a:schemeClr>
              </a:solidFill>
              <a:scene3d>
                <a:camera prst="orthographicFront"/>
                <a:lightRig rig="threePt" dir="t"/>
              </a:scene3d>
              <a:sp3d>
                <a:bevelT w="82550"/>
                <a:bevelB w="0"/>
              </a:sp3d>
            </c:spPr>
          </c:dPt>
          <c:dPt>
            <c:idx val="3"/>
            <c:spPr>
              <a:solidFill>
                <a:schemeClr val="accent2">
                  <a:lumMod val="40000"/>
                  <a:lumOff val="60000"/>
                </a:schemeClr>
              </a:solidFill>
              <a:scene3d>
                <a:camera prst="orthographicFront"/>
                <a:lightRig rig="threePt" dir="t"/>
              </a:scene3d>
              <a:sp3d>
                <a:bevelT w="82550"/>
                <a:bevelB w="0"/>
              </a:sp3d>
            </c:spPr>
          </c:dPt>
          <c:dPt>
            <c:idx val="4"/>
            <c:spPr>
              <a:solidFill>
                <a:schemeClr val="accent2">
                  <a:lumMod val="20000"/>
                  <a:lumOff val="80000"/>
                </a:schemeClr>
              </a:solidFill>
              <a:scene3d>
                <a:camera prst="orthographicFront"/>
                <a:lightRig rig="threePt" dir="t"/>
              </a:scene3d>
              <a:sp3d>
                <a:bevelT w="82550"/>
                <a:bevelB w="0"/>
              </a:sp3d>
            </c:spPr>
          </c:dPt>
          <c:dPt>
            <c:idx val="5"/>
            <c:spPr>
              <a:solidFill>
                <a:schemeClr val="accent2">
                  <a:lumMod val="60000"/>
                  <a:lumOff val="40000"/>
                </a:schemeClr>
              </a:solidFill>
              <a:scene3d>
                <a:camera prst="orthographicFront"/>
                <a:lightRig rig="threePt" dir="t"/>
              </a:scene3d>
              <a:sp3d>
                <a:bevelT w="82550"/>
                <a:bevelB w="0"/>
              </a:sp3d>
            </c:spPr>
          </c:dPt>
          <c:dPt>
            <c:idx val="6"/>
            <c:spPr>
              <a:solidFill>
                <a:schemeClr val="accent4">
                  <a:lumMod val="40000"/>
                  <a:lumOff val="60000"/>
                </a:schemeClr>
              </a:solidFill>
              <a:scene3d>
                <a:camera prst="orthographicFront"/>
                <a:lightRig rig="threePt" dir="t"/>
              </a:scene3d>
              <a:sp3d>
                <a:bevelT w="82550"/>
                <a:bevelB w="0"/>
              </a:sp3d>
            </c:spPr>
          </c:dPt>
          <c:dPt>
            <c:idx val="7"/>
            <c:spPr>
              <a:solidFill>
                <a:schemeClr val="accent2">
                  <a:lumMod val="20000"/>
                  <a:lumOff val="80000"/>
                </a:schemeClr>
              </a:solidFill>
              <a:scene3d>
                <a:camera prst="orthographicFront"/>
                <a:lightRig rig="threePt" dir="t"/>
              </a:scene3d>
              <a:sp3d>
                <a:bevelT w="82550"/>
                <a:bevelB w="0"/>
              </a:sp3d>
            </c:spPr>
          </c:dPt>
          <c:dPt>
            <c:idx val="8"/>
            <c:spPr>
              <a:solidFill>
                <a:schemeClr val="accent4">
                  <a:lumMod val="20000"/>
                  <a:lumOff val="80000"/>
                </a:schemeClr>
              </a:solidFill>
              <a:scene3d>
                <a:camera prst="orthographicFront"/>
                <a:lightRig rig="threePt" dir="t"/>
              </a:scene3d>
              <a:sp3d>
                <a:bevelT w="82550"/>
                <a:bevelB w="0"/>
              </a:sp3d>
            </c:spPr>
          </c:dPt>
          <c:dPt>
            <c:idx val="9"/>
            <c:spPr>
              <a:solidFill>
                <a:schemeClr val="accent2">
                  <a:lumMod val="60000"/>
                  <a:lumOff val="40000"/>
                </a:schemeClr>
              </a:solidFill>
              <a:scene3d>
                <a:camera prst="orthographicFront"/>
                <a:lightRig rig="threePt" dir="t"/>
              </a:scene3d>
              <a:sp3d>
                <a:bevelT w="82550"/>
                <a:bevelB w="0"/>
              </a:sp3d>
            </c:spPr>
          </c:dPt>
          <c:dPt>
            <c:idx val="10"/>
            <c:spPr>
              <a:solidFill>
                <a:srgbClr val="C0504D">
                  <a:lumMod val="60000"/>
                  <a:lumOff val="40000"/>
                </a:srgbClr>
              </a:solidFill>
              <a:scene3d>
                <a:camera prst="orthographicFront"/>
                <a:lightRig rig="threePt" dir="t"/>
              </a:scene3d>
              <a:sp3d>
                <a:bevelT w="82550"/>
                <a:bevelB w="0"/>
              </a:sp3d>
            </c:spPr>
          </c:dPt>
          <c:dPt>
            <c:idx val="11"/>
            <c:spPr>
              <a:solidFill>
                <a:schemeClr val="accent2">
                  <a:lumMod val="75000"/>
                </a:schemeClr>
              </a:solidFill>
              <a:scene3d>
                <a:camera prst="orthographicFront"/>
                <a:lightRig rig="threePt" dir="t"/>
              </a:scene3d>
              <a:sp3d>
                <a:bevelT w="82550"/>
                <a:bevelB w="0"/>
              </a:sp3d>
            </c:spPr>
          </c:dPt>
          <c:dPt>
            <c:idx val="12"/>
            <c:spPr>
              <a:solidFill>
                <a:schemeClr val="accent2">
                  <a:lumMod val="50000"/>
                </a:schemeClr>
              </a:solidFill>
              <a:scene3d>
                <a:camera prst="orthographicFront"/>
                <a:lightRig rig="threePt" dir="t"/>
              </a:scene3d>
              <a:sp3d>
                <a:bevelT w="82550"/>
                <a:bevelB w="0"/>
              </a:sp3d>
            </c:spPr>
          </c:dPt>
          <c:dLbls>
            <c:dLbl>
              <c:idx val="0"/>
              <c:layout>
                <c:manualLayout>
                  <c:x val="-0.18231163973235731"/>
                  <c:y val="9.8317465768168341E-2"/>
                </c:manualLayout>
              </c:layout>
              <c:tx>
                <c:rich>
                  <a:bodyPr/>
                  <a:lstStyle/>
                  <a:p>
                    <a:pPr>
                      <a:defRPr>
                        <a:solidFill>
                          <a:schemeClr val="bg1"/>
                        </a:solidFill>
                      </a:defRPr>
                    </a:pPr>
                    <a:r>
                      <a:rPr lang="en-US">
                        <a:solidFill>
                          <a:schemeClr val="bg1"/>
                        </a:solidFill>
                      </a:rPr>
                      <a:t>Wyższe</a:t>
                    </a:r>
                    <a:endParaRPr lang="pl-PL">
                      <a:solidFill>
                        <a:schemeClr val="bg1"/>
                      </a:solidFill>
                    </a:endParaRPr>
                  </a:p>
                  <a:p>
                    <a:pPr>
                      <a:defRPr>
                        <a:solidFill>
                          <a:schemeClr val="bg1"/>
                        </a:solidFill>
                      </a:defRPr>
                    </a:pPr>
                    <a:r>
                      <a:rPr lang="en-US">
                        <a:solidFill>
                          <a:schemeClr val="bg1"/>
                        </a:solidFill>
                      </a:rPr>
                      <a:t>33,0</a:t>
                    </a:r>
                    <a:r>
                      <a:rPr lang="pl-PL">
                        <a:solidFill>
                          <a:schemeClr val="bg1"/>
                        </a:solidFill>
                      </a:rPr>
                      <a:t>%</a:t>
                    </a:r>
                    <a:endParaRPr lang="en-US">
                      <a:solidFill>
                        <a:schemeClr val="bg1"/>
                      </a:solidFill>
                    </a:endParaRPr>
                  </a:p>
                </c:rich>
              </c:tx>
              <c:spPr/>
              <c:showVal val="1"/>
              <c:showCatName val="1"/>
            </c:dLbl>
            <c:dLbl>
              <c:idx val="1"/>
              <c:layout>
                <c:manualLayout>
                  <c:x val="-9.7669612711243858E-2"/>
                  <c:y val="-0.21041029708574999"/>
                </c:manualLayout>
              </c:layout>
              <c:tx>
                <c:rich>
                  <a:bodyPr/>
                  <a:lstStyle/>
                  <a:p>
                    <a:pPr>
                      <a:defRPr>
                        <a:solidFill>
                          <a:schemeClr val="bg1"/>
                        </a:solidFill>
                      </a:defRPr>
                    </a:pPr>
                    <a:r>
                      <a:rPr lang="en-US">
                        <a:solidFill>
                          <a:schemeClr val="bg1"/>
                        </a:solidFill>
                      </a:rPr>
                      <a:t>Policealne </a:t>
                    </a:r>
                    <a:endParaRPr lang="pl-PL">
                      <a:solidFill>
                        <a:schemeClr val="bg1"/>
                      </a:solidFill>
                    </a:endParaRPr>
                  </a:p>
                  <a:p>
                    <a:pPr>
                      <a:defRPr>
                        <a:solidFill>
                          <a:schemeClr val="bg1"/>
                        </a:solidFill>
                      </a:defRPr>
                    </a:pPr>
                    <a:r>
                      <a:rPr lang="en-US">
                        <a:solidFill>
                          <a:schemeClr val="bg1"/>
                        </a:solidFill>
                      </a:rPr>
                      <a:t>i średnie</a:t>
                    </a:r>
                    <a:r>
                      <a:rPr lang="pl-PL" baseline="0">
                        <a:solidFill>
                          <a:schemeClr val="bg1"/>
                        </a:solidFill>
                      </a:rPr>
                      <a:t> </a:t>
                    </a:r>
                    <a:r>
                      <a:rPr lang="en-US">
                        <a:solidFill>
                          <a:schemeClr val="bg1"/>
                        </a:solidFill>
                      </a:rPr>
                      <a:t>zawodowe</a:t>
                    </a:r>
                    <a:endParaRPr lang="pl-PL">
                      <a:solidFill>
                        <a:schemeClr val="bg1"/>
                      </a:solidFill>
                    </a:endParaRPr>
                  </a:p>
                  <a:p>
                    <a:pPr>
                      <a:defRPr>
                        <a:solidFill>
                          <a:schemeClr val="bg1"/>
                        </a:solidFill>
                      </a:defRPr>
                    </a:pPr>
                    <a:r>
                      <a:rPr lang="en-US">
                        <a:solidFill>
                          <a:schemeClr val="bg1"/>
                        </a:solidFill>
                      </a:rPr>
                      <a:t>26,5</a:t>
                    </a:r>
                    <a:r>
                      <a:rPr lang="pl-PL">
                        <a:solidFill>
                          <a:schemeClr val="bg1"/>
                        </a:solidFill>
                      </a:rPr>
                      <a:t>%</a:t>
                    </a:r>
                    <a:endParaRPr lang="en-US">
                      <a:solidFill>
                        <a:schemeClr val="bg1"/>
                      </a:solidFill>
                    </a:endParaRPr>
                  </a:p>
                </c:rich>
              </c:tx>
              <c:spPr/>
              <c:showVal val="1"/>
              <c:showCatName val="1"/>
            </c:dLbl>
            <c:dLbl>
              <c:idx val="2"/>
              <c:layout>
                <c:manualLayout>
                  <c:x val="0.19258755598486238"/>
                  <c:y val="-0.18713146320210944"/>
                </c:manualLayout>
              </c:layout>
              <c:tx>
                <c:rich>
                  <a:bodyPr/>
                  <a:lstStyle/>
                  <a:p>
                    <a:pPr>
                      <a:defRPr>
                        <a:solidFill>
                          <a:sysClr val="windowText" lastClr="000000"/>
                        </a:solidFill>
                      </a:defRPr>
                    </a:pPr>
                    <a:r>
                      <a:rPr lang="en-US">
                        <a:solidFill>
                          <a:sysClr val="windowText" lastClr="000000"/>
                        </a:solidFill>
                      </a:rPr>
                      <a:t>Średnie ogólnokształcące 11,7</a:t>
                    </a:r>
                    <a:r>
                      <a:rPr lang="pl-PL">
                        <a:solidFill>
                          <a:sysClr val="windowText" lastClr="000000"/>
                        </a:solidFill>
                      </a:rPr>
                      <a:t>%</a:t>
                    </a:r>
                    <a:endParaRPr lang="en-US">
                      <a:solidFill>
                        <a:sysClr val="windowText" lastClr="000000"/>
                      </a:solidFill>
                    </a:endParaRPr>
                  </a:p>
                </c:rich>
              </c:tx>
              <c:spPr/>
              <c:showVal val="1"/>
              <c:showCatName val="1"/>
            </c:dLbl>
            <c:dLbl>
              <c:idx val="3"/>
              <c:layout>
                <c:manualLayout>
                  <c:x val="0.18226195404074721"/>
                  <c:y val="9.4056032075983675E-2"/>
                </c:manualLayout>
              </c:layout>
              <c:tx>
                <c:rich>
                  <a:bodyPr/>
                  <a:lstStyle/>
                  <a:p>
                    <a:pPr>
                      <a:defRPr>
                        <a:solidFill>
                          <a:sysClr val="windowText" lastClr="000000"/>
                        </a:solidFill>
                      </a:defRPr>
                    </a:pPr>
                    <a:r>
                      <a:rPr lang="en-US">
                        <a:solidFill>
                          <a:sysClr val="windowText" lastClr="000000"/>
                        </a:solidFill>
                      </a:rPr>
                      <a:t>Zasadnicze zawodowe</a:t>
                    </a:r>
                    <a:endParaRPr lang="pl-PL">
                      <a:solidFill>
                        <a:sysClr val="windowText" lastClr="000000"/>
                      </a:solidFill>
                    </a:endParaRPr>
                  </a:p>
                  <a:p>
                    <a:pPr>
                      <a:defRPr>
                        <a:solidFill>
                          <a:sysClr val="windowText" lastClr="000000"/>
                        </a:solidFill>
                      </a:defRPr>
                    </a:pPr>
                    <a:r>
                      <a:rPr lang="en-US">
                        <a:solidFill>
                          <a:sysClr val="windowText" lastClr="000000"/>
                        </a:solidFill>
                      </a:rPr>
                      <a:t>23,5</a:t>
                    </a:r>
                    <a:r>
                      <a:rPr lang="pl-PL">
                        <a:solidFill>
                          <a:sysClr val="windowText" lastClr="000000"/>
                        </a:solidFill>
                      </a:rPr>
                      <a:t>%</a:t>
                    </a:r>
                    <a:endParaRPr lang="en-US">
                      <a:solidFill>
                        <a:sysClr val="windowText" lastClr="000000"/>
                      </a:solidFill>
                    </a:endParaRPr>
                  </a:p>
                </c:rich>
              </c:tx>
              <c:spPr/>
              <c:showVal val="1"/>
              <c:showCatName val="1"/>
            </c:dLbl>
            <c:dLbl>
              <c:idx val="4"/>
              <c:layout>
                <c:manualLayout>
                  <c:x val="4.2036548625099479E-2"/>
                  <c:y val="-1.1845006970996792E-2"/>
                </c:manualLayout>
              </c:layout>
              <c:tx>
                <c:rich>
                  <a:bodyPr/>
                  <a:lstStyle/>
                  <a:p>
                    <a:r>
                      <a:rPr lang="en-US"/>
                      <a:t>Gimnazjalne </a:t>
                    </a:r>
                    <a:endParaRPr lang="pl-PL"/>
                  </a:p>
                  <a:p>
                    <a:r>
                      <a:rPr lang="en-US"/>
                      <a:t>i niższe </a:t>
                    </a:r>
                    <a:endParaRPr lang="pl-PL"/>
                  </a:p>
                  <a:p>
                    <a:r>
                      <a:rPr lang="en-US"/>
                      <a:t>5,3</a:t>
                    </a:r>
                    <a:r>
                      <a:rPr lang="pl-PL"/>
                      <a:t>%</a:t>
                    </a:r>
                    <a:endParaRPr lang="en-US"/>
                  </a:p>
                </c:rich>
              </c:tx>
              <c:showVal val="1"/>
              <c:showCatName val="1"/>
            </c:dLbl>
            <c:showVal val="1"/>
            <c:showCatName val="1"/>
            <c:showLeaderLines val="1"/>
            <c:leaderLines>
              <c:spPr>
                <a:ln w="3175"/>
              </c:spPr>
            </c:leaderLines>
          </c:dLbls>
          <c:cat>
            <c:strRef>
              <c:f>Arkusz1!$A$2:$A$6</c:f>
              <c:strCache>
                <c:ptCount val="5"/>
                <c:pt idx="0">
                  <c:v>Wyższe</c:v>
                </c:pt>
                <c:pt idx="1">
                  <c:v>Policealne i średnie zawodowe</c:v>
                </c:pt>
                <c:pt idx="2">
                  <c:v>Średnie ogólnokształcące</c:v>
                </c:pt>
                <c:pt idx="3">
                  <c:v>Zasadnicze zawodowe</c:v>
                </c:pt>
                <c:pt idx="4">
                  <c:v>Gimnazjalne i niższe</c:v>
                </c:pt>
              </c:strCache>
            </c:strRef>
          </c:cat>
          <c:val>
            <c:numRef>
              <c:f>Arkusz1!$B$2:$B$6</c:f>
              <c:numCache>
                <c:formatCode>0.0</c:formatCode>
                <c:ptCount val="5"/>
                <c:pt idx="0">
                  <c:v>33</c:v>
                </c:pt>
                <c:pt idx="1">
                  <c:v>26.5</c:v>
                </c:pt>
                <c:pt idx="2">
                  <c:v>11.7</c:v>
                </c:pt>
                <c:pt idx="3">
                  <c:v>23.5</c:v>
                </c:pt>
                <c:pt idx="4">
                  <c:v>5.3</c:v>
                </c:pt>
              </c:numCache>
            </c:numRef>
          </c:val>
        </c:ser>
        <c:dLbls>
          <c:showVal val="1"/>
        </c:dLbls>
      </c:pie3DChart>
    </c:plotArea>
    <c:plotVisOnly val="1"/>
  </c:chart>
  <c:spPr>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pl-PL"/>
  <c:chart>
    <c:plotArea>
      <c:layout>
        <c:manualLayout>
          <c:layoutTarget val="inner"/>
          <c:xMode val="edge"/>
          <c:yMode val="edge"/>
          <c:x val="0.13299963154519223"/>
          <c:y val="1.9840879265092173E-3"/>
          <c:w val="0.633593066491696"/>
          <c:h val="0.8902112437558205"/>
        </c:manualLayout>
      </c:layout>
      <c:barChart>
        <c:barDir val="bar"/>
        <c:grouping val="percentStacked"/>
        <c:ser>
          <c:idx val="0"/>
          <c:order val="0"/>
          <c:tx>
            <c:strRef>
              <c:f>Arkusz1!$B$1</c:f>
              <c:strCache>
                <c:ptCount val="1"/>
                <c:pt idx="0">
                  <c:v>15 – 24 lat</c:v>
                </c:pt>
              </c:strCache>
            </c:strRef>
          </c:tx>
          <c:spPr>
            <a:solidFill>
              <a:schemeClr val="accent2">
                <a:lumMod val="50000"/>
              </a:schemeClr>
            </a:solidFill>
          </c:spPr>
          <c:dLbls>
            <c:txPr>
              <a:bodyPr/>
              <a:lstStyle/>
              <a:p>
                <a:pPr>
                  <a:defRPr b="0">
                    <a:solidFill>
                      <a:schemeClr val="bg1"/>
                    </a:solidFill>
                  </a:defRPr>
                </a:pPr>
                <a:endParaRPr lang="pl-PL"/>
              </a:p>
            </c:txPr>
            <c:showVal val="1"/>
          </c:dLbls>
          <c:cat>
            <c:strRef>
              <c:f>Arkusz1!$A$2:$A$4</c:f>
              <c:strCache>
                <c:ptCount val="3"/>
                <c:pt idx="0">
                  <c:v>Mężczyźni</c:v>
                </c:pt>
                <c:pt idx="1">
                  <c:v>Kobiety</c:v>
                </c:pt>
                <c:pt idx="2">
                  <c:v>Ogółem</c:v>
                </c:pt>
              </c:strCache>
            </c:strRef>
          </c:cat>
          <c:val>
            <c:numRef>
              <c:f>Arkusz1!$B$2:$B$4</c:f>
              <c:numCache>
                <c:formatCode>0.0</c:formatCode>
                <c:ptCount val="3"/>
                <c:pt idx="0">
                  <c:v>9.7000000000000011</c:v>
                </c:pt>
                <c:pt idx="1">
                  <c:v>8.7000000000000011</c:v>
                </c:pt>
                <c:pt idx="2">
                  <c:v>9.2000000000000011</c:v>
                </c:pt>
              </c:numCache>
            </c:numRef>
          </c:val>
        </c:ser>
        <c:ser>
          <c:idx val="1"/>
          <c:order val="1"/>
          <c:tx>
            <c:strRef>
              <c:f>Arkusz1!$C$1</c:f>
              <c:strCache>
                <c:ptCount val="1"/>
                <c:pt idx="0">
                  <c:v>25 – 34 lat</c:v>
                </c:pt>
              </c:strCache>
            </c:strRef>
          </c:tx>
          <c:spPr>
            <a:solidFill>
              <a:schemeClr val="accent2">
                <a:lumMod val="75000"/>
              </a:schemeClr>
            </a:solidFill>
          </c:spPr>
          <c:dLbls>
            <c:txPr>
              <a:bodyPr/>
              <a:lstStyle/>
              <a:p>
                <a:pPr>
                  <a:defRPr b="0">
                    <a:solidFill>
                      <a:schemeClr val="bg1"/>
                    </a:solidFill>
                  </a:defRPr>
                </a:pPr>
                <a:endParaRPr lang="pl-PL"/>
              </a:p>
            </c:txPr>
            <c:showVal val="1"/>
          </c:dLbls>
          <c:cat>
            <c:strRef>
              <c:f>Arkusz1!$A$2:$A$4</c:f>
              <c:strCache>
                <c:ptCount val="3"/>
                <c:pt idx="0">
                  <c:v>Mężczyźni</c:v>
                </c:pt>
                <c:pt idx="1">
                  <c:v>Kobiety</c:v>
                </c:pt>
                <c:pt idx="2">
                  <c:v>Ogółem</c:v>
                </c:pt>
              </c:strCache>
            </c:strRef>
          </c:cat>
          <c:val>
            <c:numRef>
              <c:f>Arkusz1!$C$2:$C$4</c:f>
              <c:numCache>
                <c:formatCode>General</c:formatCode>
                <c:ptCount val="3"/>
                <c:pt idx="0">
                  <c:v>30.9</c:v>
                </c:pt>
                <c:pt idx="1">
                  <c:v>31.4</c:v>
                </c:pt>
                <c:pt idx="2">
                  <c:v>31.1</c:v>
                </c:pt>
              </c:numCache>
            </c:numRef>
          </c:val>
        </c:ser>
        <c:ser>
          <c:idx val="2"/>
          <c:order val="2"/>
          <c:tx>
            <c:strRef>
              <c:f>Arkusz1!$D$1</c:f>
              <c:strCache>
                <c:ptCount val="1"/>
                <c:pt idx="0">
                  <c:v>35 – 44 lat</c:v>
                </c:pt>
              </c:strCache>
            </c:strRef>
          </c:tx>
          <c:spPr>
            <a:solidFill>
              <a:schemeClr val="accent2">
                <a:lumMod val="60000"/>
                <a:lumOff val="40000"/>
              </a:schemeClr>
            </a:solidFill>
          </c:spPr>
          <c:dLbls>
            <c:txPr>
              <a:bodyPr/>
              <a:lstStyle/>
              <a:p>
                <a:pPr>
                  <a:defRPr b="0"/>
                </a:pPr>
                <a:endParaRPr lang="pl-PL"/>
              </a:p>
            </c:txPr>
            <c:showVal val="1"/>
          </c:dLbls>
          <c:cat>
            <c:strRef>
              <c:f>Arkusz1!$A$2:$A$4</c:f>
              <c:strCache>
                <c:ptCount val="3"/>
                <c:pt idx="0">
                  <c:v>Mężczyźni</c:v>
                </c:pt>
                <c:pt idx="1">
                  <c:v>Kobiety</c:v>
                </c:pt>
                <c:pt idx="2">
                  <c:v>Ogółem</c:v>
                </c:pt>
              </c:strCache>
            </c:strRef>
          </c:cat>
          <c:val>
            <c:numRef>
              <c:f>Arkusz1!$D$2:$D$4</c:f>
              <c:numCache>
                <c:formatCode>General</c:formatCode>
                <c:ptCount val="3"/>
                <c:pt idx="0">
                  <c:v>25.1</c:v>
                </c:pt>
                <c:pt idx="1">
                  <c:v>26.9</c:v>
                </c:pt>
                <c:pt idx="2">
                  <c:v>25.9</c:v>
                </c:pt>
              </c:numCache>
            </c:numRef>
          </c:val>
        </c:ser>
        <c:ser>
          <c:idx val="3"/>
          <c:order val="3"/>
          <c:tx>
            <c:strRef>
              <c:f>Arkusz1!$E$1</c:f>
              <c:strCache>
                <c:ptCount val="1"/>
                <c:pt idx="0">
                  <c:v>45 – 54 lat</c:v>
                </c:pt>
              </c:strCache>
            </c:strRef>
          </c:tx>
          <c:spPr>
            <a:solidFill>
              <a:schemeClr val="accent2">
                <a:lumMod val="40000"/>
                <a:lumOff val="60000"/>
              </a:schemeClr>
            </a:solidFill>
          </c:spPr>
          <c:dLbls>
            <c:txPr>
              <a:bodyPr/>
              <a:lstStyle/>
              <a:p>
                <a:pPr>
                  <a:defRPr b="0"/>
                </a:pPr>
                <a:endParaRPr lang="pl-PL"/>
              </a:p>
            </c:txPr>
            <c:showVal val="1"/>
          </c:dLbls>
          <c:cat>
            <c:strRef>
              <c:f>Arkusz1!$A$2:$A$4</c:f>
              <c:strCache>
                <c:ptCount val="3"/>
                <c:pt idx="0">
                  <c:v>Mężczyźni</c:v>
                </c:pt>
                <c:pt idx="1">
                  <c:v>Kobiety</c:v>
                </c:pt>
                <c:pt idx="2">
                  <c:v>Ogółem</c:v>
                </c:pt>
              </c:strCache>
            </c:strRef>
          </c:cat>
          <c:val>
            <c:numRef>
              <c:f>Arkusz1!$E$2:$E$4</c:f>
              <c:numCache>
                <c:formatCode>General</c:formatCode>
                <c:ptCount val="3"/>
                <c:pt idx="0">
                  <c:v>20.9</c:v>
                </c:pt>
                <c:pt idx="1">
                  <c:v>23.6</c:v>
                </c:pt>
                <c:pt idx="2">
                  <c:v>22.1</c:v>
                </c:pt>
              </c:numCache>
            </c:numRef>
          </c:val>
        </c:ser>
        <c:ser>
          <c:idx val="4"/>
          <c:order val="4"/>
          <c:tx>
            <c:strRef>
              <c:f>Arkusz1!$F$1</c:f>
              <c:strCache>
                <c:ptCount val="1"/>
                <c:pt idx="0">
                  <c:v>55 – 64 lat</c:v>
                </c:pt>
              </c:strCache>
            </c:strRef>
          </c:tx>
          <c:spPr>
            <a:solidFill>
              <a:schemeClr val="accent2">
                <a:lumMod val="20000"/>
                <a:lumOff val="80000"/>
              </a:schemeClr>
            </a:solidFill>
          </c:spPr>
          <c:dLbls>
            <c:txPr>
              <a:bodyPr/>
              <a:lstStyle/>
              <a:p>
                <a:pPr>
                  <a:defRPr b="0"/>
                </a:pPr>
                <a:endParaRPr lang="pl-PL"/>
              </a:p>
            </c:txPr>
            <c:showVal val="1"/>
          </c:dLbls>
          <c:cat>
            <c:strRef>
              <c:f>Arkusz1!$A$2:$A$4</c:f>
              <c:strCache>
                <c:ptCount val="3"/>
                <c:pt idx="0">
                  <c:v>Mężczyźni</c:v>
                </c:pt>
                <c:pt idx="1">
                  <c:v>Kobiety</c:v>
                </c:pt>
                <c:pt idx="2">
                  <c:v>Ogółem</c:v>
                </c:pt>
              </c:strCache>
            </c:strRef>
          </c:cat>
          <c:val>
            <c:numRef>
              <c:f>Arkusz1!$F$2:$F$4</c:f>
              <c:numCache>
                <c:formatCode>General</c:formatCode>
                <c:ptCount val="3"/>
                <c:pt idx="0">
                  <c:v>12.2</c:v>
                </c:pt>
                <c:pt idx="1">
                  <c:v>8.7000000000000011</c:v>
                </c:pt>
                <c:pt idx="2">
                  <c:v>10.6</c:v>
                </c:pt>
              </c:numCache>
            </c:numRef>
          </c:val>
        </c:ser>
        <c:ser>
          <c:idx val="5"/>
          <c:order val="5"/>
          <c:tx>
            <c:strRef>
              <c:f>Arkusz1!$G$1</c:f>
              <c:strCache>
                <c:ptCount val="1"/>
                <c:pt idx="0">
                  <c:v>65 i więcej lat</c:v>
                </c:pt>
              </c:strCache>
            </c:strRef>
          </c:tx>
          <c:spPr>
            <a:solidFill>
              <a:schemeClr val="bg1">
                <a:lumMod val="85000"/>
              </a:schemeClr>
            </a:solidFill>
          </c:spPr>
          <c:dLbls>
            <c:dLbl>
              <c:idx val="0"/>
              <c:layout>
                <c:manualLayout>
                  <c:x val="2.5462780694079912E-2"/>
                  <c:y val="-3.9682539682539802E-3"/>
                </c:manualLayout>
              </c:layout>
              <c:showVal val="1"/>
            </c:dLbl>
            <c:dLbl>
              <c:idx val="1"/>
              <c:layout>
                <c:manualLayout>
                  <c:x val="3.0092592592592591E-2"/>
                  <c:y val="0"/>
                </c:manualLayout>
              </c:layout>
              <c:showVal val="1"/>
            </c:dLbl>
            <c:dLbl>
              <c:idx val="2"/>
              <c:layout>
                <c:manualLayout>
                  <c:x val="3.0092592592592591E-2"/>
                  <c:y val="0"/>
                </c:manualLayout>
              </c:layout>
              <c:showVal val="1"/>
            </c:dLbl>
            <c:txPr>
              <a:bodyPr/>
              <a:lstStyle/>
              <a:p>
                <a:pPr>
                  <a:defRPr b="1"/>
                </a:pPr>
                <a:endParaRPr lang="pl-PL"/>
              </a:p>
            </c:txPr>
            <c:showVal val="1"/>
          </c:dLbls>
          <c:cat>
            <c:strRef>
              <c:f>Arkusz1!$A$2:$A$4</c:f>
              <c:strCache>
                <c:ptCount val="3"/>
                <c:pt idx="0">
                  <c:v>Mężczyźni</c:v>
                </c:pt>
                <c:pt idx="1">
                  <c:v>Kobiety</c:v>
                </c:pt>
                <c:pt idx="2">
                  <c:v>Ogółem</c:v>
                </c:pt>
              </c:strCache>
            </c:strRef>
          </c:cat>
          <c:val>
            <c:numRef>
              <c:f>Arkusz1!$G$2:$G$4</c:f>
              <c:numCache>
                <c:formatCode>General</c:formatCode>
                <c:ptCount val="3"/>
                <c:pt idx="0">
                  <c:v>1.2</c:v>
                </c:pt>
                <c:pt idx="1">
                  <c:v>0.70000000000000062</c:v>
                </c:pt>
                <c:pt idx="2" formatCode="0.0">
                  <c:v>1</c:v>
                </c:pt>
              </c:numCache>
            </c:numRef>
          </c:val>
        </c:ser>
        <c:gapWidth val="84"/>
        <c:overlap val="100"/>
        <c:axId val="142763136"/>
        <c:axId val="142764672"/>
      </c:barChart>
      <c:catAx>
        <c:axId val="142763136"/>
        <c:scaling>
          <c:orientation val="minMax"/>
        </c:scaling>
        <c:axPos val="l"/>
        <c:numFmt formatCode="General" sourceLinked="1"/>
        <c:tickLblPos val="nextTo"/>
        <c:crossAx val="142764672"/>
        <c:crosses val="autoZero"/>
        <c:auto val="1"/>
        <c:lblAlgn val="ctr"/>
        <c:lblOffset val="100"/>
        <c:tickLblSkip val="1"/>
      </c:catAx>
      <c:valAx>
        <c:axId val="142764672"/>
        <c:scaling>
          <c:orientation val="minMax"/>
        </c:scaling>
        <c:axPos val="b"/>
        <c:majorGridlines>
          <c:spPr>
            <a:ln>
              <a:solidFill>
                <a:schemeClr val="bg1">
                  <a:lumMod val="75000"/>
                </a:schemeClr>
              </a:solidFill>
            </a:ln>
          </c:spPr>
        </c:majorGridlines>
        <c:numFmt formatCode="0%" sourceLinked="1"/>
        <c:tickLblPos val="nextTo"/>
        <c:crossAx val="142763136"/>
        <c:crosses val="autoZero"/>
        <c:crossBetween val="between"/>
      </c:valAx>
      <c:spPr>
        <a:ln>
          <a:solidFill>
            <a:schemeClr val="bg1">
              <a:lumMod val="75000"/>
            </a:schemeClr>
          </a:solidFill>
        </a:ln>
      </c:spPr>
    </c:plotArea>
    <c:legend>
      <c:legendPos val="r"/>
      <c:layout>
        <c:manualLayout>
          <c:xMode val="edge"/>
          <c:yMode val="edge"/>
          <c:x val="0.81593416940732999"/>
          <c:y val="0.22270838989953945"/>
          <c:w val="0.16789020956435904"/>
          <c:h val="0.68102000181011868"/>
        </c:manualLayout>
      </c:layout>
    </c:legend>
    <c:plotVisOnly val="1"/>
  </c:chart>
  <c:spPr>
    <a:ln>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pl-PL"/>
  <c:chart>
    <c:view3D>
      <c:rAngAx val="1"/>
    </c:view3D>
    <c:floor>
      <c:spPr>
        <a:solidFill>
          <a:schemeClr val="bg1">
            <a:lumMod val="75000"/>
          </a:schemeClr>
        </a:solidFill>
      </c:spPr>
    </c:floor>
    <c:backWall>
      <c:spPr>
        <a:ln>
          <a:solidFill>
            <a:schemeClr val="bg1">
              <a:lumMod val="75000"/>
            </a:schemeClr>
          </a:solidFill>
        </a:ln>
      </c:spPr>
    </c:backWall>
    <c:plotArea>
      <c:layout>
        <c:manualLayout>
          <c:layoutTarget val="inner"/>
          <c:xMode val="edge"/>
          <c:yMode val="edge"/>
          <c:x val="8.8277376786235248E-2"/>
          <c:y val="7.4034573264548834E-2"/>
          <c:w val="0.737869641294842"/>
          <c:h val="0.83377391619151675"/>
        </c:manualLayout>
      </c:layout>
      <c:bar3DChart>
        <c:barDir val="col"/>
        <c:grouping val="percentStacked"/>
        <c:ser>
          <c:idx val="0"/>
          <c:order val="0"/>
          <c:tx>
            <c:strRef>
              <c:f>Arkusz1!$B$1</c:f>
              <c:strCache>
                <c:ptCount val="1"/>
                <c:pt idx="0">
                  <c:v>kobiety</c:v>
                </c:pt>
              </c:strCache>
            </c:strRef>
          </c:tx>
          <c:spPr>
            <a:solidFill>
              <a:schemeClr val="accent2">
                <a:lumMod val="75000"/>
              </a:schemeClr>
            </a:solidFill>
          </c:spPr>
          <c:dLbls>
            <c:txPr>
              <a:bodyPr/>
              <a:lstStyle/>
              <a:p>
                <a:pPr>
                  <a:defRPr b="0">
                    <a:solidFill>
                      <a:schemeClr val="bg1"/>
                    </a:solidFill>
                  </a:defRPr>
                </a:pPr>
                <a:endParaRPr lang="pl-PL"/>
              </a:p>
            </c:txPr>
            <c:showVal val="1"/>
          </c:dLbls>
          <c:cat>
            <c:strRef>
              <c:f>Arkusz1!$A$2:$A$5</c:f>
              <c:strCache>
                <c:ptCount val="4"/>
                <c:pt idx="0">
                  <c:v>do 5 km</c:v>
                </c:pt>
                <c:pt idx="1">
                  <c:v>6 – 20 km</c:v>
                </c:pt>
                <c:pt idx="2">
                  <c:v>21 – 50 km</c:v>
                </c:pt>
                <c:pt idx="3">
                  <c:v>51 i więcej km</c:v>
                </c:pt>
              </c:strCache>
            </c:strRef>
          </c:cat>
          <c:val>
            <c:numRef>
              <c:f>Arkusz1!$B$2:$B$5</c:f>
              <c:numCache>
                <c:formatCode>0.0</c:formatCode>
                <c:ptCount val="4"/>
                <c:pt idx="0">
                  <c:v>49.084993322043594</c:v>
                </c:pt>
                <c:pt idx="1">
                  <c:v>45.930215864706554</c:v>
                </c:pt>
                <c:pt idx="2">
                  <c:v>37.443633207752825</c:v>
                </c:pt>
                <c:pt idx="3">
                  <c:v>26.939554883042121</c:v>
                </c:pt>
              </c:numCache>
            </c:numRef>
          </c:val>
        </c:ser>
        <c:ser>
          <c:idx val="1"/>
          <c:order val="1"/>
          <c:tx>
            <c:strRef>
              <c:f>Arkusz1!$C$1</c:f>
              <c:strCache>
                <c:ptCount val="1"/>
                <c:pt idx="0">
                  <c:v>mężczyźni</c:v>
                </c:pt>
              </c:strCache>
            </c:strRef>
          </c:tx>
          <c:spPr>
            <a:solidFill>
              <a:schemeClr val="accent2">
                <a:lumMod val="20000"/>
                <a:lumOff val="80000"/>
              </a:schemeClr>
            </a:solidFill>
          </c:spPr>
          <c:dLbls>
            <c:txPr>
              <a:bodyPr/>
              <a:lstStyle/>
              <a:p>
                <a:pPr>
                  <a:defRPr b="0"/>
                </a:pPr>
                <a:endParaRPr lang="pl-PL"/>
              </a:p>
            </c:txPr>
            <c:showVal val="1"/>
          </c:dLbls>
          <c:cat>
            <c:strRef>
              <c:f>Arkusz1!$A$2:$A$5</c:f>
              <c:strCache>
                <c:ptCount val="4"/>
                <c:pt idx="0">
                  <c:v>do 5 km</c:v>
                </c:pt>
                <c:pt idx="1">
                  <c:v>6 – 20 km</c:v>
                </c:pt>
                <c:pt idx="2">
                  <c:v>21 – 50 km</c:v>
                </c:pt>
                <c:pt idx="3">
                  <c:v>51 i więcej km</c:v>
                </c:pt>
              </c:strCache>
            </c:strRef>
          </c:cat>
          <c:val>
            <c:numRef>
              <c:f>Arkusz1!$C$2:$C$5</c:f>
              <c:numCache>
                <c:formatCode>0.0</c:formatCode>
                <c:ptCount val="4"/>
                <c:pt idx="0">
                  <c:v>50.915006677956001</c:v>
                </c:pt>
                <c:pt idx="1">
                  <c:v>54.069784135292885</c:v>
                </c:pt>
                <c:pt idx="2">
                  <c:v>62.556366792246585</c:v>
                </c:pt>
                <c:pt idx="3">
                  <c:v>73.060445116956487</c:v>
                </c:pt>
              </c:numCache>
            </c:numRef>
          </c:val>
        </c:ser>
        <c:shape val="box"/>
        <c:axId val="95924224"/>
        <c:axId val="95925760"/>
        <c:axId val="0"/>
      </c:bar3DChart>
      <c:catAx>
        <c:axId val="95924224"/>
        <c:scaling>
          <c:orientation val="minMax"/>
        </c:scaling>
        <c:axPos val="b"/>
        <c:tickLblPos val="nextTo"/>
        <c:crossAx val="95925760"/>
        <c:crosses val="autoZero"/>
        <c:auto val="1"/>
        <c:lblAlgn val="ctr"/>
        <c:lblOffset val="100"/>
      </c:catAx>
      <c:valAx>
        <c:axId val="95925760"/>
        <c:scaling>
          <c:orientation val="minMax"/>
        </c:scaling>
        <c:axPos val="l"/>
        <c:majorGridlines>
          <c:spPr>
            <a:ln>
              <a:solidFill>
                <a:schemeClr val="bg1">
                  <a:lumMod val="75000"/>
                </a:schemeClr>
              </a:solidFill>
            </a:ln>
          </c:spPr>
        </c:majorGridlines>
        <c:numFmt formatCode="0%" sourceLinked="1"/>
        <c:tickLblPos val="nextTo"/>
        <c:crossAx val="95924224"/>
        <c:crosses val="autoZero"/>
        <c:crossBetween val="between"/>
      </c:valAx>
    </c:plotArea>
    <c:legend>
      <c:legendPos val="r"/>
    </c:legend>
    <c:plotVisOnly val="1"/>
  </c:chart>
  <c:spPr>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pl-PL"/>
  <c:chart>
    <c:plotArea>
      <c:layout>
        <c:manualLayout>
          <c:layoutTarget val="inner"/>
          <c:xMode val="edge"/>
          <c:yMode val="edge"/>
          <c:x val="0.26101118496890457"/>
          <c:y val="1.3840137452697961E-2"/>
          <c:w val="0.54491470617090876"/>
          <c:h val="0.93247404315424431"/>
        </c:manualLayout>
      </c:layout>
      <c:barChart>
        <c:barDir val="bar"/>
        <c:grouping val="clustered"/>
        <c:ser>
          <c:idx val="0"/>
          <c:order val="0"/>
          <c:tx>
            <c:strRef>
              <c:f>Arkusz1!$B$1</c:f>
              <c:strCache>
                <c:ptCount val="1"/>
                <c:pt idx="0">
                  <c:v>ogółem</c:v>
                </c:pt>
              </c:strCache>
            </c:strRef>
          </c:tx>
          <c:spPr>
            <a:solidFill>
              <a:srgbClr val="C00000"/>
            </a:solidFill>
          </c:spPr>
          <c:dLbls>
            <c:dLbl>
              <c:idx val="0"/>
              <c:layout>
                <c:manualLayout>
                  <c:x val="3.4674877969002496E-2"/>
                  <c:y val="0"/>
                </c:manualLayout>
              </c:layout>
              <c:showVal val="1"/>
            </c:dLbl>
            <c:dLbl>
              <c:idx val="1"/>
              <c:layout>
                <c:manualLayout>
                  <c:x val="2.3116585312668123E-2"/>
                  <c:y val="0"/>
                </c:manualLayout>
              </c:layout>
              <c:showVal val="1"/>
            </c:dLbl>
            <c:dLbl>
              <c:idx val="2"/>
              <c:layout>
                <c:manualLayout>
                  <c:x val="2.5428243843935019E-2"/>
                  <c:y val="0"/>
                </c:manualLayout>
              </c:layout>
              <c:showVal val="1"/>
            </c:dLbl>
            <c:dLbl>
              <c:idx val="3"/>
              <c:layout>
                <c:manualLayout>
                  <c:x val="2.5428243843935102E-2"/>
                  <c:y val="2.4936867509245219E-3"/>
                </c:manualLayout>
              </c:layout>
              <c:showVal val="1"/>
            </c:dLbl>
            <c:dLbl>
              <c:idx val="4"/>
              <c:layout>
                <c:manualLayout>
                  <c:x val="3.0051560906468582E-2"/>
                  <c:y val="0"/>
                </c:manualLayout>
              </c:layout>
              <c:showVal val="1"/>
            </c:dLbl>
            <c:dLbl>
              <c:idx val="5"/>
              <c:layout>
                <c:manualLayout>
                  <c:x val="2.5428243843935019E-2"/>
                  <c:y val="0"/>
                </c:manualLayout>
              </c:layout>
              <c:showVal val="1"/>
            </c:dLbl>
            <c:dLbl>
              <c:idx val="6"/>
              <c:layout>
                <c:manualLayout>
                  <c:x val="2.5428243843935019E-2"/>
                  <c:y val="0"/>
                </c:manualLayout>
              </c:layout>
              <c:showVal val="1"/>
            </c:dLbl>
            <c:dLbl>
              <c:idx val="7"/>
              <c:layout>
                <c:manualLayout>
                  <c:x val="2.5428243843935102E-2"/>
                  <c:y val="0"/>
                </c:manualLayout>
              </c:layout>
              <c:showVal val="1"/>
            </c:dLbl>
            <c:dLbl>
              <c:idx val="8"/>
              <c:layout>
                <c:manualLayout>
                  <c:x val="3.0051560906468659E-2"/>
                  <c:y val="0"/>
                </c:manualLayout>
              </c:layout>
              <c:showVal val="1"/>
            </c:dLbl>
            <c:dLbl>
              <c:idx val="9"/>
              <c:layout>
                <c:manualLayout>
                  <c:x val="3.4674877969002496E-2"/>
                  <c:y val="0"/>
                </c:manualLayout>
              </c:layout>
              <c:showVal val="1"/>
            </c:dLbl>
            <c:dLbl>
              <c:idx val="10"/>
              <c:layout>
                <c:manualLayout>
                  <c:x val="2.080492678140141E-2"/>
                  <c:y val="0"/>
                </c:manualLayout>
              </c:layout>
              <c:showVal val="1"/>
            </c:dLbl>
            <c:dLbl>
              <c:idx val="11"/>
              <c:layout>
                <c:manualLayout>
                  <c:x val="3.0051560906468659E-2"/>
                  <c:y val="0"/>
                </c:manualLayout>
              </c:layout>
              <c:showVal val="1"/>
            </c:dLbl>
            <c:dLbl>
              <c:idx val="12"/>
              <c:layout>
                <c:manualLayout>
                  <c:x val="2.3116585312668123E-2"/>
                  <c:y val="0"/>
                </c:manualLayout>
              </c:layout>
              <c:showVal val="1"/>
            </c:dLbl>
            <c:dLbl>
              <c:idx val="13"/>
              <c:layout>
                <c:manualLayout>
                  <c:x val="2.5428243843935102E-2"/>
                  <c:y val="0"/>
                </c:manualLayout>
              </c:layout>
              <c:showVal val="1"/>
            </c:dLbl>
            <c:dLbl>
              <c:idx val="14"/>
              <c:layout>
                <c:manualLayout>
                  <c:x val="2.7739902375202283E-2"/>
                  <c:y val="0"/>
                </c:manualLayout>
              </c:layout>
              <c:showVal val="1"/>
            </c:dLbl>
            <c:dLbl>
              <c:idx val="15"/>
              <c:layout>
                <c:manualLayout>
                  <c:x val="3.4674877969002496E-2"/>
                  <c:y val="2.4936867509245219E-3"/>
                </c:manualLayout>
              </c:layout>
              <c:showVal val="1"/>
            </c:dLbl>
            <c:dLbl>
              <c:idx val="16"/>
              <c:layout>
                <c:manualLayout>
                  <c:x val="2.7739902375202283E-2"/>
                  <c:y val="2.4936867509245219E-3"/>
                </c:manualLayout>
              </c:layout>
              <c:showVal val="1"/>
            </c:dLbl>
            <c:txPr>
              <a:bodyPr/>
              <a:lstStyle/>
              <a:p>
                <a:pPr>
                  <a:defRPr sz="800" b="0"/>
                </a:pPr>
                <a:endParaRPr lang="pl-PL"/>
              </a:p>
            </c:txPr>
            <c:showVal val="1"/>
          </c:dLbls>
          <c:cat>
            <c:strRef>
              <c:f>Arkusz1!$A$2:$A$18</c:f>
              <c:strCache>
                <c:ptCount val="17"/>
                <c:pt idx="0">
                  <c:v>Zachodniopomorskie</c:v>
                </c:pt>
                <c:pt idx="1">
                  <c:v>Wielkopolskie</c:v>
                </c:pt>
                <c:pt idx="2">
                  <c:v>Warmińsko– mazurskie</c:v>
                </c:pt>
                <c:pt idx="3">
                  <c:v>Świętokrzyskie</c:v>
                </c:pt>
                <c:pt idx="4">
                  <c:v>Śląskie</c:v>
                </c:pt>
                <c:pt idx="5">
                  <c:v>Pomorskie</c:v>
                </c:pt>
                <c:pt idx="6">
                  <c:v>Podlaskie</c:v>
                </c:pt>
                <c:pt idx="7">
                  <c:v>Podkarpackie</c:v>
                </c:pt>
                <c:pt idx="8">
                  <c:v>Opolskie</c:v>
                </c:pt>
                <c:pt idx="9">
                  <c:v>Mazowieckie</c:v>
                </c:pt>
                <c:pt idx="10">
                  <c:v>Małopolskie</c:v>
                </c:pt>
                <c:pt idx="11">
                  <c:v>Łódzkie</c:v>
                </c:pt>
                <c:pt idx="12">
                  <c:v>Lubuskie</c:v>
                </c:pt>
                <c:pt idx="13">
                  <c:v>Lubelskie</c:v>
                </c:pt>
                <c:pt idx="14">
                  <c:v>Kujawsko–pomorskie</c:v>
                </c:pt>
                <c:pt idx="15">
                  <c:v>Dolnośląskie</c:v>
                </c:pt>
                <c:pt idx="16">
                  <c:v>Polska</c:v>
                </c:pt>
              </c:strCache>
            </c:strRef>
          </c:cat>
          <c:val>
            <c:numRef>
              <c:f>Arkusz1!$B$2:$B$18</c:f>
              <c:numCache>
                <c:formatCode>General</c:formatCode>
                <c:ptCount val="17"/>
                <c:pt idx="0" formatCode="0.0">
                  <c:v>18</c:v>
                </c:pt>
                <c:pt idx="1">
                  <c:v>17.100000000000001</c:v>
                </c:pt>
                <c:pt idx="2">
                  <c:v>17.600000000000001</c:v>
                </c:pt>
                <c:pt idx="3">
                  <c:v>19.2</c:v>
                </c:pt>
                <c:pt idx="4">
                  <c:v>14.8</c:v>
                </c:pt>
                <c:pt idx="5">
                  <c:v>17.899999999999999</c:v>
                </c:pt>
                <c:pt idx="6">
                  <c:v>14.7</c:v>
                </c:pt>
                <c:pt idx="7">
                  <c:v>16.5</c:v>
                </c:pt>
                <c:pt idx="8">
                  <c:v>18.100000000000001</c:v>
                </c:pt>
                <c:pt idx="9">
                  <c:v>19.3</c:v>
                </c:pt>
                <c:pt idx="10">
                  <c:v>18.5</c:v>
                </c:pt>
                <c:pt idx="11">
                  <c:v>16.2</c:v>
                </c:pt>
                <c:pt idx="12">
                  <c:v>17.3</c:v>
                </c:pt>
                <c:pt idx="13">
                  <c:v>19.2</c:v>
                </c:pt>
                <c:pt idx="14">
                  <c:v>17.3</c:v>
                </c:pt>
                <c:pt idx="15">
                  <c:v>17.100000000000001</c:v>
                </c:pt>
                <c:pt idx="16">
                  <c:v>17.399999999999999</c:v>
                </c:pt>
              </c:numCache>
            </c:numRef>
          </c:val>
        </c:ser>
        <c:ser>
          <c:idx val="1"/>
          <c:order val="1"/>
          <c:tx>
            <c:strRef>
              <c:f>Arkusz1!$C$1</c:f>
              <c:strCache>
                <c:ptCount val="1"/>
                <c:pt idx="0">
                  <c:v>kobiety</c:v>
                </c:pt>
              </c:strCache>
            </c:strRef>
          </c:tx>
          <c:spPr>
            <a:solidFill>
              <a:schemeClr val="accent2">
                <a:lumMod val="40000"/>
                <a:lumOff val="60000"/>
              </a:schemeClr>
            </a:solidFill>
          </c:spPr>
          <c:dLbls>
            <c:dLbl>
              <c:idx val="0"/>
              <c:layout>
                <c:manualLayout>
                  <c:x val="8.553118363651549E-2"/>
                  <c:y val="2.4936867509245219E-3"/>
                </c:manualLayout>
              </c:layout>
              <c:showVal val="1"/>
            </c:dLbl>
            <c:dLbl>
              <c:idx val="1"/>
              <c:layout>
                <c:manualLayout>
                  <c:x val="6.7038097406738884E-2"/>
                  <c:y val="9.1434124612425474E-17"/>
                </c:manualLayout>
              </c:layout>
              <c:showVal val="1"/>
            </c:dLbl>
            <c:dLbl>
              <c:idx val="2"/>
              <c:layout>
                <c:manualLayout>
                  <c:x val="9.9401316844473273E-2"/>
                  <c:y val="2.4936867509245219E-3"/>
                </c:manualLayout>
              </c:layout>
              <c:showVal val="1"/>
            </c:dLbl>
            <c:dLbl>
              <c:idx val="3"/>
              <c:layout>
                <c:manualLayout>
                  <c:x val="0.12020624362587583"/>
                  <c:y val="0"/>
                </c:manualLayout>
              </c:layout>
              <c:showVal val="1"/>
            </c:dLbl>
            <c:dLbl>
              <c:idx val="4"/>
              <c:layout>
                <c:manualLayout>
                  <c:x val="4.6233170625336412E-2"/>
                  <c:y val="0"/>
                </c:manualLayout>
              </c:layout>
              <c:showVal val="1"/>
            </c:dLbl>
            <c:dLbl>
              <c:idx val="5"/>
              <c:layout>
                <c:manualLayout>
                  <c:x val="6.7038097406738884E-2"/>
                  <c:y val="0"/>
                </c:manualLayout>
              </c:layout>
              <c:showVal val="1"/>
            </c:dLbl>
            <c:dLbl>
              <c:idx val="6"/>
              <c:layout>
                <c:manualLayout>
                  <c:x val="5.0856487687870114E-2"/>
                  <c:y val="0"/>
                </c:manualLayout>
              </c:layout>
              <c:showVal val="1"/>
            </c:dLbl>
            <c:dLbl>
              <c:idx val="7"/>
              <c:layout>
                <c:manualLayout>
                  <c:x val="7.628454951144828E-2"/>
                  <c:y val="2.4936867509245219E-3"/>
                </c:manualLayout>
              </c:layout>
              <c:showVal val="1"/>
            </c:dLbl>
            <c:dLbl>
              <c:idx val="8"/>
              <c:layout>
                <c:manualLayout>
                  <c:x val="8.3219707125605488E-2"/>
                  <c:y val="2.4936867509245219E-3"/>
                </c:manualLayout>
              </c:layout>
              <c:showVal val="1"/>
            </c:dLbl>
            <c:dLbl>
              <c:idx val="9"/>
              <c:layout>
                <c:manualLayout>
                  <c:x val="4.3921512094069345E-2"/>
                  <c:y val="0"/>
                </c:manualLayout>
              </c:layout>
              <c:showVal val="1"/>
            </c:dLbl>
            <c:dLbl>
              <c:idx val="10"/>
              <c:layout>
                <c:manualLayout>
                  <c:x val="8.7843024188139163E-2"/>
                  <c:y val="0"/>
                </c:manualLayout>
              </c:layout>
              <c:showVal val="1"/>
            </c:dLbl>
            <c:dLbl>
              <c:idx val="11"/>
              <c:layout>
                <c:manualLayout>
                  <c:x val="5.3168146219136854E-2"/>
                  <c:y val="0"/>
                </c:manualLayout>
              </c:layout>
              <c:showVal val="1"/>
            </c:dLbl>
            <c:dLbl>
              <c:idx val="12"/>
              <c:layout>
                <c:manualLayout>
                  <c:x val="8.5531365656874914E-2"/>
                  <c:y val="0"/>
                </c:manualLayout>
              </c:layout>
              <c:showVal val="1"/>
            </c:dLbl>
            <c:dLbl>
              <c:idx val="13"/>
              <c:layout>
                <c:manualLayout>
                  <c:x val="0.10171297537574009"/>
                  <c:y val="0"/>
                </c:manualLayout>
              </c:layout>
              <c:showVal val="1"/>
            </c:dLbl>
            <c:dLbl>
              <c:idx val="14"/>
              <c:layout>
                <c:manualLayout>
                  <c:x val="8.5531365656874872E-2"/>
                  <c:y val="2.4936867509245219E-3"/>
                </c:manualLayout>
              </c:layout>
              <c:showVal val="1"/>
            </c:dLbl>
            <c:dLbl>
              <c:idx val="15"/>
              <c:layout>
                <c:manualLayout>
                  <c:x val="6.0103121812938302E-2"/>
                  <c:y val="2.4934903976370441E-3"/>
                </c:manualLayout>
              </c:layout>
              <c:showVal val="1"/>
            </c:dLbl>
            <c:dLbl>
              <c:idx val="16"/>
              <c:layout>
                <c:manualLayout>
                  <c:x val="7.166141446927142E-2"/>
                  <c:y val="2.4936867509245189E-3"/>
                </c:manualLayout>
              </c:layout>
              <c:showVal val="1"/>
            </c:dLbl>
            <c:txPr>
              <a:bodyPr/>
              <a:lstStyle/>
              <a:p>
                <a:pPr>
                  <a:defRPr sz="800" b="0"/>
                </a:pPr>
                <a:endParaRPr lang="pl-PL"/>
              </a:p>
            </c:txPr>
            <c:showVal val="1"/>
          </c:dLbls>
          <c:cat>
            <c:strRef>
              <c:f>Arkusz1!$A$2:$A$18</c:f>
              <c:strCache>
                <c:ptCount val="17"/>
                <c:pt idx="0">
                  <c:v>Zachodniopomorskie</c:v>
                </c:pt>
                <c:pt idx="1">
                  <c:v>Wielkopolskie</c:v>
                </c:pt>
                <c:pt idx="2">
                  <c:v>Warmińsko– mazurskie</c:v>
                </c:pt>
                <c:pt idx="3">
                  <c:v>Świętokrzyskie</c:v>
                </c:pt>
                <c:pt idx="4">
                  <c:v>Śląskie</c:v>
                </c:pt>
                <c:pt idx="5">
                  <c:v>Pomorskie</c:v>
                </c:pt>
                <c:pt idx="6">
                  <c:v>Podlaskie</c:v>
                </c:pt>
                <c:pt idx="7">
                  <c:v>Podkarpackie</c:v>
                </c:pt>
                <c:pt idx="8">
                  <c:v>Opolskie</c:v>
                </c:pt>
                <c:pt idx="9">
                  <c:v>Mazowieckie</c:v>
                </c:pt>
                <c:pt idx="10">
                  <c:v>Małopolskie</c:v>
                </c:pt>
                <c:pt idx="11">
                  <c:v>Łódzkie</c:v>
                </c:pt>
                <c:pt idx="12">
                  <c:v>Lubuskie</c:v>
                </c:pt>
                <c:pt idx="13">
                  <c:v>Lubelskie</c:v>
                </c:pt>
                <c:pt idx="14">
                  <c:v>Kujawsko–pomorskie</c:v>
                </c:pt>
                <c:pt idx="15">
                  <c:v>Dolnośląskie</c:v>
                </c:pt>
                <c:pt idx="16">
                  <c:v>Polska</c:v>
                </c:pt>
              </c:strCache>
            </c:strRef>
          </c:cat>
          <c:val>
            <c:numRef>
              <c:f>Arkusz1!$C$2:$C$18</c:f>
              <c:numCache>
                <c:formatCode>0.0</c:formatCode>
                <c:ptCount val="17"/>
                <c:pt idx="0">
                  <c:v>13.753390700000001</c:v>
                </c:pt>
                <c:pt idx="1">
                  <c:v>13.558011399999998</c:v>
                </c:pt>
                <c:pt idx="2">
                  <c:v>12.673426500000026</c:v>
                </c:pt>
                <c:pt idx="3">
                  <c:v>13.257525699999999</c:v>
                </c:pt>
                <c:pt idx="4">
                  <c:v>12.348570699999998</c:v>
                </c:pt>
                <c:pt idx="5">
                  <c:v>14.409474400000002</c:v>
                </c:pt>
                <c:pt idx="6">
                  <c:v>12.0339075</c:v>
                </c:pt>
                <c:pt idx="7">
                  <c:v>12.673987</c:v>
                </c:pt>
                <c:pt idx="8">
                  <c:v>13.776587200000026</c:v>
                </c:pt>
                <c:pt idx="9">
                  <c:v>16.860854600000035</c:v>
                </c:pt>
                <c:pt idx="10">
                  <c:v>14.038509300000001</c:v>
                </c:pt>
                <c:pt idx="11">
                  <c:v>13.240628999999998</c:v>
                </c:pt>
                <c:pt idx="12">
                  <c:v>12.919084300000026</c:v>
                </c:pt>
                <c:pt idx="13">
                  <c:v>14.254329099999998</c:v>
                </c:pt>
                <c:pt idx="14">
                  <c:v>13.131967699999999</c:v>
                </c:pt>
                <c:pt idx="15">
                  <c:v>14.2870866</c:v>
                </c:pt>
                <c:pt idx="16">
                  <c:v>14</c:v>
                </c:pt>
              </c:numCache>
            </c:numRef>
          </c:val>
        </c:ser>
        <c:ser>
          <c:idx val="2"/>
          <c:order val="2"/>
          <c:tx>
            <c:strRef>
              <c:f>Arkusz1!$D$1</c:f>
              <c:strCache>
                <c:ptCount val="1"/>
                <c:pt idx="0">
                  <c:v>mężczyźni</c:v>
                </c:pt>
              </c:strCache>
            </c:strRef>
          </c:tx>
          <c:spPr>
            <a:solidFill>
              <a:srgbClr val="EDE259"/>
            </a:solidFill>
          </c:spPr>
          <c:dLbls>
            <c:txPr>
              <a:bodyPr/>
              <a:lstStyle/>
              <a:p>
                <a:pPr>
                  <a:defRPr sz="800" b="0"/>
                </a:pPr>
                <a:endParaRPr lang="pl-PL"/>
              </a:p>
            </c:txPr>
            <c:showVal val="1"/>
          </c:dLbls>
          <c:cat>
            <c:strRef>
              <c:f>Arkusz1!$A$2:$A$18</c:f>
              <c:strCache>
                <c:ptCount val="17"/>
                <c:pt idx="0">
                  <c:v>Zachodniopomorskie</c:v>
                </c:pt>
                <c:pt idx="1">
                  <c:v>Wielkopolskie</c:v>
                </c:pt>
                <c:pt idx="2">
                  <c:v>Warmińsko– mazurskie</c:v>
                </c:pt>
                <c:pt idx="3">
                  <c:v>Świętokrzyskie</c:v>
                </c:pt>
                <c:pt idx="4">
                  <c:v>Śląskie</c:v>
                </c:pt>
                <c:pt idx="5">
                  <c:v>Pomorskie</c:v>
                </c:pt>
                <c:pt idx="6">
                  <c:v>Podlaskie</c:v>
                </c:pt>
                <c:pt idx="7">
                  <c:v>Podkarpackie</c:v>
                </c:pt>
                <c:pt idx="8">
                  <c:v>Opolskie</c:v>
                </c:pt>
                <c:pt idx="9">
                  <c:v>Mazowieckie</c:v>
                </c:pt>
                <c:pt idx="10">
                  <c:v>Małopolskie</c:v>
                </c:pt>
                <c:pt idx="11">
                  <c:v>Łódzkie</c:v>
                </c:pt>
                <c:pt idx="12">
                  <c:v>Lubuskie</c:v>
                </c:pt>
                <c:pt idx="13">
                  <c:v>Lubelskie</c:v>
                </c:pt>
                <c:pt idx="14">
                  <c:v>Kujawsko–pomorskie</c:v>
                </c:pt>
                <c:pt idx="15">
                  <c:v>Dolnośląskie</c:v>
                </c:pt>
                <c:pt idx="16">
                  <c:v>Polska</c:v>
                </c:pt>
              </c:strCache>
            </c:strRef>
          </c:cat>
          <c:val>
            <c:numRef>
              <c:f>Arkusz1!$D$2:$D$18</c:f>
              <c:numCache>
                <c:formatCode>0.0</c:formatCode>
                <c:ptCount val="17"/>
                <c:pt idx="0">
                  <c:v>21.400015799999988</c:v>
                </c:pt>
                <c:pt idx="1">
                  <c:v>19.8164196</c:v>
                </c:pt>
                <c:pt idx="2">
                  <c:v>21.1554407</c:v>
                </c:pt>
                <c:pt idx="3">
                  <c:v>23.750551300000001</c:v>
                </c:pt>
                <c:pt idx="4">
                  <c:v>16.709663799999987</c:v>
                </c:pt>
                <c:pt idx="5">
                  <c:v>20.745958000000005</c:v>
                </c:pt>
                <c:pt idx="6">
                  <c:v>16.820287499999999</c:v>
                </c:pt>
                <c:pt idx="7">
                  <c:v>19.222429799999883</c:v>
                </c:pt>
                <c:pt idx="8">
                  <c:v>21.420669799999914</c:v>
                </c:pt>
                <c:pt idx="9">
                  <c:v>21.6320072</c:v>
                </c:pt>
                <c:pt idx="10">
                  <c:v>22.332382599999917</c:v>
                </c:pt>
                <c:pt idx="11">
                  <c:v>18.756956899999999</c:v>
                </c:pt>
                <c:pt idx="12">
                  <c:v>20.494121100000001</c:v>
                </c:pt>
                <c:pt idx="13">
                  <c:v>23.143783799999987</c:v>
                </c:pt>
                <c:pt idx="14">
                  <c:v>20.517978100000157</c:v>
                </c:pt>
                <c:pt idx="15">
                  <c:v>19.318345699999988</c:v>
                </c:pt>
                <c:pt idx="16">
                  <c:v>20.2</c:v>
                </c:pt>
              </c:numCache>
            </c:numRef>
          </c:val>
        </c:ser>
        <c:axId val="142335360"/>
        <c:axId val="163886208"/>
      </c:barChart>
      <c:catAx>
        <c:axId val="142335360"/>
        <c:scaling>
          <c:orientation val="minMax"/>
        </c:scaling>
        <c:axPos val="l"/>
        <c:tickLblPos val="nextTo"/>
        <c:crossAx val="163886208"/>
        <c:crosses val="autoZero"/>
        <c:auto val="1"/>
        <c:lblAlgn val="ctr"/>
        <c:lblOffset val="100"/>
      </c:catAx>
      <c:valAx>
        <c:axId val="163886208"/>
        <c:scaling>
          <c:orientation val="minMax"/>
        </c:scaling>
        <c:axPos val="b"/>
        <c:majorGridlines>
          <c:spPr>
            <a:ln>
              <a:solidFill>
                <a:schemeClr val="bg1">
                  <a:lumMod val="75000"/>
                </a:schemeClr>
              </a:solidFill>
            </a:ln>
          </c:spPr>
        </c:majorGridlines>
        <c:numFmt formatCode="0.0" sourceLinked="1"/>
        <c:tickLblPos val="nextTo"/>
        <c:crossAx val="142335360"/>
        <c:crosses val="autoZero"/>
        <c:crossBetween val="between"/>
      </c:valAx>
      <c:spPr>
        <a:ln>
          <a:solidFill>
            <a:schemeClr val="bg1">
              <a:lumMod val="75000"/>
            </a:schemeClr>
          </a:solidFill>
        </a:ln>
      </c:spPr>
    </c:plotArea>
    <c:legend>
      <c:legendPos val="r"/>
    </c:legend>
    <c:plotVisOnly val="1"/>
  </c:chart>
  <c:spPr>
    <a:ln>
      <a:noFill/>
    </a:ln>
  </c:spPr>
  <c:externalData r:id="rId1"/>
  <c:userShapes r:id="rId2"/>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pl-PL"/>
  <c:chart>
    <c:view3D>
      <c:rAngAx val="1"/>
    </c:view3D>
    <c:floor>
      <c:spPr>
        <a:solidFill>
          <a:schemeClr val="bg1">
            <a:lumMod val="95000"/>
          </a:schemeClr>
        </a:solidFill>
      </c:spPr>
    </c:floor>
    <c:backWall>
      <c:spPr>
        <a:ln>
          <a:solidFill>
            <a:schemeClr val="tx1"/>
          </a:solidFill>
        </a:ln>
      </c:spPr>
    </c:backWall>
    <c:plotArea>
      <c:layout>
        <c:manualLayout>
          <c:layoutTarget val="inner"/>
          <c:xMode val="edge"/>
          <c:yMode val="edge"/>
          <c:x val="0.25588429111244559"/>
          <c:y val="2.7160486764889788E-2"/>
          <c:w val="0.67246915093012372"/>
          <c:h val="0.87208064929528162"/>
        </c:manualLayout>
      </c:layout>
      <c:bar3DChart>
        <c:barDir val="bar"/>
        <c:grouping val="clustered"/>
        <c:ser>
          <c:idx val="0"/>
          <c:order val="0"/>
          <c:tx>
            <c:strRef>
              <c:f>Arkusz1!$B$1</c:f>
              <c:strCache>
                <c:ptCount val="1"/>
                <c:pt idx="0">
                  <c:v>do 30 minut</c:v>
                </c:pt>
              </c:strCache>
            </c:strRef>
          </c:tx>
          <c:spPr>
            <a:solidFill>
              <a:srgbClr val="CC3300"/>
            </a:solidFill>
          </c:spPr>
          <c:cat>
            <c:strRef>
              <c:f>Arkusz1!$A$2:$A$17</c:f>
              <c:strCache>
                <c:ptCount val="16"/>
                <c:pt idx="0">
                  <c:v>Zachodniopomorskie</c:v>
                </c:pt>
                <c:pt idx="1">
                  <c:v>Wielkopolskie</c:v>
                </c:pt>
                <c:pt idx="2">
                  <c:v>Warmińsko–mazurskie</c:v>
                </c:pt>
                <c:pt idx="3">
                  <c:v>Świętokrzyskie</c:v>
                </c:pt>
                <c:pt idx="4">
                  <c:v>Śląskie</c:v>
                </c:pt>
                <c:pt idx="5">
                  <c:v>Pomorskie</c:v>
                </c:pt>
                <c:pt idx="6">
                  <c:v>Podlaskie</c:v>
                </c:pt>
                <c:pt idx="7">
                  <c:v>Podkarpackie</c:v>
                </c:pt>
                <c:pt idx="8">
                  <c:v>Opolskie</c:v>
                </c:pt>
                <c:pt idx="9">
                  <c:v>Mazowieckie</c:v>
                </c:pt>
                <c:pt idx="10">
                  <c:v>Małopolskie</c:v>
                </c:pt>
                <c:pt idx="11">
                  <c:v>Łódzkie</c:v>
                </c:pt>
                <c:pt idx="12">
                  <c:v>Lubuskie</c:v>
                </c:pt>
                <c:pt idx="13">
                  <c:v>Lubelskie</c:v>
                </c:pt>
                <c:pt idx="14">
                  <c:v>Kujawsko–pomorskie</c:v>
                </c:pt>
                <c:pt idx="15">
                  <c:v>Dolnośląskie</c:v>
                </c:pt>
              </c:strCache>
            </c:strRef>
          </c:cat>
          <c:val>
            <c:numRef>
              <c:f>Arkusz1!$B$2:$B$17</c:f>
              <c:numCache>
                <c:formatCode>0</c:formatCode>
                <c:ptCount val="16"/>
                <c:pt idx="0">
                  <c:v>83.790268009104523</c:v>
                </c:pt>
                <c:pt idx="1">
                  <c:v>81.241407346136782</c:v>
                </c:pt>
                <c:pt idx="2">
                  <c:v>76.421277504806653</c:v>
                </c:pt>
                <c:pt idx="3">
                  <c:v>82.942352805445509</c:v>
                </c:pt>
                <c:pt idx="4">
                  <c:v>79.35670145446737</c:v>
                </c:pt>
                <c:pt idx="5">
                  <c:v>86.95790570755274</c:v>
                </c:pt>
                <c:pt idx="6">
                  <c:v>83.604688856122578</c:v>
                </c:pt>
                <c:pt idx="7">
                  <c:v>79.318236701718945</c:v>
                </c:pt>
                <c:pt idx="8">
                  <c:v>82.27014292067841</c:v>
                </c:pt>
                <c:pt idx="9">
                  <c:v>92.419221407701826</c:v>
                </c:pt>
                <c:pt idx="10">
                  <c:v>91.132759019383258</c:v>
                </c:pt>
                <c:pt idx="11">
                  <c:v>87.001133717241913</c:v>
                </c:pt>
                <c:pt idx="12">
                  <c:v>81.365168425939004</c:v>
                </c:pt>
                <c:pt idx="13">
                  <c:v>86.458716685463287</c:v>
                </c:pt>
                <c:pt idx="14">
                  <c:v>79.672679732934284</c:v>
                </c:pt>
                <c:pt idx="15">
                  <c:v>81.185493119265658</c:v>
                </c:pt>
              </c:numCache>
            </c:numRef>
          </c:val>
        </c:ser>
        <c:ser>
          <c:idx val="1"/>
          <c:order val="1"/>
          <c:tx>
            <c:strRef>
              <c:f>Arkusz1!$C$1</c:f>
              <c:strCache>
                <c:ptCount val="1"/>
                <c:pt idx="0">
                  <c:v>od 31 minut od 1 godziny</c:v>
                </c:pt>
              </c:strCache>
            </c:strRef>
          </c:tx>
          <c:spPr>
            <a:solidFill>
              <a:srgbClr val="F79747"/>
            </a:solidFill>
          </c:spPr>
          <c:cat>
            <c:strRef>
              <c:f>Arkusz1!$A$2:$A$17</c:f>
              <c:strCache>
                <c:ptCount val="16"/>
                <c:pt idx="0">
                  <c:v>Zachodniopomorskie</c:v>
                </c:pt>
                <c:pt idx="1">
                  <c:v>Wielkopolskie</c:v>
                </c:pt>
                <c:pt idx="2">
                  <c:v>Warmińsko–mazurskie</c:v>
                </c:pt>
                <c:pt idx="3">
                  <c:v>Świętokrzyskie</c:v>
                </c:pt>
                <c:pt idx="4">
                  <c:v>Śląskie</c:v>
                </c:pt>
                <c:pt idx="5">
                  <c:v>Pomorskie</c:v>
                </c:pt>
                <c:pt idx="6">
                  <c:v>Podlaskie</c:v>
                </c:pt>
                <c:pt idx="7">
                  <c:v>Podkarpackie</c:v>
                </c:pt>
                <c:pt idx="8">
                  <c:v>Opolskie</c:v>
                </c:pt>
                <c:pt idx="9">
                  <c:v>Mazowieckie</c:v>
                </c:pt>
                <c:pt idx="10">
                  <c:v>Małopolskie</c:v>
                </c:pt>
                <c:pt idx="11">
                  <c:v>Łódzkie</c:v>
                </c:pt>
                <c:pt idx="12">
                  <c:v>Lubuskie</c:v>
                </c:pt>
                <c:pt idx="13">
                  <c:v>Lubelskie</c:v>
                </c:pt>
                <c:pt idx="14">
                  <c:v>Kujawsko–pomorskie</c:v>
                </c:pt>
                <c:pt idx="15">
                  <c:v>Dolnośląskie</c:v>
                </c:pt>
              </c:strCache>
            </c:strRef>
          </c:cat>
          <c:val>
            <c:numRef>
              <c:f>Arkusz1!$C$2:$C$17</c:f>
              <c:numCache>
                <c:formatCode>0</c:formatCode>
                <c:ptCount val="16"/>
                <c:pt idx="0">
                  <c:v>71.320383575116779</c:v>
                </c:pt>
                <c:pt idx="1">
                  <c:v>73.097003594903327</c:v>
                </c:pt>
                <c:pt idx="2">
                  <c:v>63.70324189526184</c:v>
                </c:pt>
                <c:pt idx="3">
                  <c:v>70.62996375973475</c:v>
                </c:pt>
                <c:pt idx="4">
                  <c:v>72.70116481456688</c:v>
                </c:pt>
                <c:pt idx="5">
                  <c:v>79.603586710898256</c:v>
                </c:pt>
                <c:pt idx="6">
                  <c:v>83.625285605482958</c:v>
                </c:pt>
                <c:pt idx="7">
                  <c:v>61.181632653061094</c:v>
                </c:pt>
                <c:pt idx="8">
                  <c:v>58.816202481191745</c:v>
                </c:pt>
                <c:pt idx="9">
                  <c:v>95.557680315942633</c:v>
                </c:pt>
                <c:pt idx="10">
                  <c:v>84.036390979928782</c:v>
                </c:pt>
                <c:pt idx="11">
                  <c:v>82.780680243096285</c:v>
                </c:pt>
                <c:pt idx="12">
                  <c:v>57.470297029702337</c:v>
                </c:pt>
                <c:pt idx="13">
                  <c:v>79.260234781226927</c:v>
                </c:pt>
                <c:pt idx="14">
                  <c:v>71.57519649463795</c:v>
                </c:pt>
                <c:pt idx="15">
                  <c:v>78.212488842002458</c:v>
                </c:pt>
              </c:numCache>
            </c:numRef>
          </c:val>
        </c:ser>
        <c:ser>
          <c:idx val="2"/>
          <c:order val="2"/>
          <c:tx>
            <c:strRef>
              <c:f>Arkusz1!$D$1</c:f>
              <c:strCache>
                <c:ptCount val="1"/>
                <c:pt idx="0">
                  <c:v>powyżej 1 godziny do 2 godzin</c:v>
                </c:pt>
              </c:strCache>
            </c:strRef>
          </c:tx>
          <c:spPr>
            <a:solidFill>
              <a:schemeClr val="accent6">
                <a:lumMod val="40000"/>
                <a:lumOff val="60000"/>
              </a:schemeClr>
            </a:solidFill>
          </c:spPr>
          <c:cat>
            <c:strRef>
              <c:f>Arkusz1!$A$2:$A$17</c:f>
              <c:strCache>
                <c:ptCount val="16"/>
                <c:pt idx="0">
                  <c:v>Zachodniopomorskie</c:v>
                </c:pt>
                <c:pt idx="1">
                  <c:v>Wielkopolskie</c:v>
                </c:pt>
                <c:pt idx="2">
                  <c:v>Warmińsko–mazurskie</c:v>
                </c:pt>
                <c:pt idx="3">
                  <c:v>Świętokrzyskie</c:v>
                </c:pt>
                <c:pt idx="4">
                  <c:v>Śląskie</c:v>
                </c:pt>
                <c:pt idx="5">
                  <c:v>Pomorskie</c:v>
                </c:pt>
                <c:pt idx="6">
                  <c:v>Podlaskie</c:v>
                </c:pt>
                <c:pt idx="7">
                  <c:v>Podkarpackie</c:v>
                </c:pt>
                <c:pt idx="8">
                  <c:v>Opolskie</c:v>
                </c:pt>
                <c:pt idx="9">
                  <c:v>Mazowieckie</c:v>
                </c:pt>
                <c:pt idx="10">
                  <c:v>Małopolskie</c:v>
                </c:pt>
                <c:pt idx="11">
                  <c:v>Łódzkie</c:v>
                </c:pt>
                <c:pt idx="12">
                  <c:v>Lubuskie</c:v>
                </c:pt>
                <c:pt idx="13">
                  <c:v>Lubelskie</c:v>
                </c:pt>
                <c:pt idx="14">
                  <c:v>Kujawsko–pomorskie</c:v>
                </c:pt>
                <c:pt idx="15">
                  <c:v>Dolnośląskie</c:v>
                </c:pt>
              </c:strCache>
            </c:strRef>
          </c:cat>
          <c:val>
            <c:numRef>
              <c:f>Arkusz1!$D$2:$D$17</c:f>
              <c:numCache>
                <c:formatCode>0</c:formatCode>
                <c:ptCount val="16"/>
                <c:pt idx="0">
                  <c:v>47.227856659905342</c:v>
                </c:pt>
                <c:pt idx="1">
                  <c:v>58.523038566419963</c:v>
                </c:pt>
                <c:pt idx="2">
                  <c:v>37.942499511050244</c:v>
                </c:pt>
                <c:pt idx="3">
                  <c:v>42.46993701088001</c:v>
                </c:pt>
                <c:pt idx="4">
                  <c:v>61.061743778076526</c:v>
                </c:pt>
                <c:pt idx="5">
                  <c:v>56.840043525571254</c:v>
                </c:pt>
                <c:pt idx="6">
                  <c:v>57.768570583012732</c:v>
                </c:pt>
                <c:pt idx="7">
                  <c:v>43.373216751035294</c:v>
                </c:pt>
                <c:pt idx="8">
                  <c:v>43.155410312273062</c:v>
                </c:pt>
                <c:pt idx="9">
                  <c:v>89.075656138333258</c:v>
                </c:pt>
                <c:pt idx="10">
                  <c:v>65.545969441518835</c:v>
                </c:pt>
                <c:pt idx="11">
                  <c:v>65.489767223871269</c:v>
                </c:pt>
                <c:pt idx="12">
                  <c:v>35.749545336451781</c:v>
                </c:pt>
                <c:pt idx="13">
                  <c:v>52.964539007091993</c:v>
                </c:pt>
                <c:pt idx="14">
                  <c:v>56.18141289437601</c:v>
                </c:pt>
                <c:pt idx="15">
                  <c:v>72.830089426617576</c:v>
                </c:pt>
              </c:numCache>
            </c:numRef>
          </c:val>
        </c:ser>
        <c:ser>
          <c:idx val="3"/>
          <c:order val="3"/>
          <c:tx>
            <c:strRef>
              <c:f>Arkusz1!$E$1</c:f>
              <c:strCache>
                <c:ptCount val="1"/>
                <c:pt idx="0">
                  <c:v>powyżej 2 godzin</c:v>
                </c:pt>
              </c:strCache>
            </c:strRef>
          </c:tx>
          <c:spPr>
            <a:solidFill>
              <a:srgbClr val="FFFF99"/>
            </a:solidFill>
          </c:spPr>
          <c:cat>
            <c:strRef>
              <c:f>Arkusz1!$A$2:$A$17</c:f>
              <c:strCache>
                <c:ptCount val="16"/>
                <c:pt idx="0">
                  <c:v>Zachodniopomorskie</c:v>
                </c:pt>
                <c:pt idx="1">
                  <c:v>Wielkopolskie</c:v>
                </c:pt>
                <c:pt idx="2">
                  <c:v>Warmińsko–mazurskie</c:v>
                </c:pt>
                <c:pt idx="3">
                  <c:v>Świętokrzyskie</c:v>
                </c:pt>
                <c:pt idx="4">
                  <c:v>Śląskie</c:v>
                </c:pt>
                <c:pt idx="5">
                  <c:v>Pomorskie</c:v>
                </c:pt>
                <c:pt idx="6">
                  <c:v>Podlaskie</c:v>
                </c:pt>
                <c:pt idx="7">
                  <c:v>Podkarpackie</c:v>
                </c:pt>
                <c:pt idx="8">
                  <c:v>Opolskie</c:v>
                </c:pt>
                <c:pt idx="9">
                  <c:v>Mazowieckie</c:v>
                </c:pt>
                <c:pt idx="10">
                  <c:v>Małopolskie</c:v>
                </c:pt>
                <c:pt idx="11">
                  <c:v>Łódzkie</c:v>
                </c:pt>
                <c:pt idx="12">
                  <c:v>Lubuskie</c:v>
                </c:pt>
                <c:pt idx="13">
                  <c:v>Lubelskie</c:v>
                </c:pt>
                <c:pt idx="14">
                  <c:v>Kujawsko–pomorskie</c:v>
                </c:pt>
                <c:pt idx="15">
                  <c:v>Dolnośląskie</c:v>
                </c:pt>
              </c:strCache>
            </c:strRef>
          </c:cat>
          <c:val>
            <c:numRef>
              <c:f>Arkusz1!$E$2:$E$17</c:f>
              <c:numCache>
                <c:formatCode>0</c:formatCode>
                <c:ptCount val="16"/>
                <c:pt idx="0">
                  <c:v>21.341867137497331</c:v>
                </c:pt>
                <c:pt idx="1">
                  <c:v>25.773012991799487</c:v>
                </c:pt>
                <c:pt idx="2">
                  <c:v>17.894736842104908</c:v>
                </c:pt>
                <c:pt idx="3">
                  <c:v>13.288288288288289</c:v>
                </c:pt>
                <c:pt idx="4">
                  <c:v>30.682843677930084</c:v>
                </c:pt>
                <c:pt idx="5">
                  <c:v>31.993437243642056</c:v>
                </c:pt>
                <c:pt idx="6">
                  <c:v>39.308329274232825</c:v>
                </c:pt>
                <c:pt idx="7">
                  <c:v>22.169907881269189</c:v>
                </c:pt>
                <c:pt idx="8">
                  <c:v>20.057581573896353</c:v>
                </c:pt>
                <c:pt idx="9">
                  <c:v>50.341916871460135</c:v>
                </c:pt>
                <c:pt idx="10">
                  <c:v>21.951219512194989</c:v>
                </c:pt>
                <c:pt idx="11">
                  <c:v>33.732431025507552</c:v>
                </c:pt>
                <c:pt idx="12">
                  <c:v>22.402957486136785</c:v>
                </c:pt>
                <c:pt idx="13">
                  <c:v>28.930198202634493</c:v>
                </c:pt>
                <c:pt idx="14">
                  <c:v>20.12094557449149</c:v>
                </c:pt>
                <c:pt idx="15">
                  <c:v>31.963350785340289</c:v>
                </c:pt>
              </c:numCache>
            </c:numRef>
          </c:val>
        </c:ser>
        <c:shape val="box"/>
        <c:axId val="163116928"/>
        <c:axId val="163118464"/>
        <c:axId val="0"/>
      </c:bar3DChart>
      <c:catAx>
        <c:axId val="163116928"/>
        <c:scaling>
          <c:orientation val="minMax"/>
        </c:scaling>
        <c:axPos val="l"/>
        <c:tickLblPos val="nextTo"/>
        <c:crossAx val="163118464"/>
        <c:crosses val="autoZero"/>
        <c:auto val="1"/>
        <c:lblAlgn val="ctr"/>
        <c:lblOffset val="100"/>
      </c:catAx>
      <c:valAx>
        <c:axId val="163118464"/>
        <c:scaling>
          <c:orientation val="minMax"/>
        </c:scaling>
        <c:axPos val="b"/>
        <c:majorGridlines>
          <c:spPr>
            <a:ln>
              <a:solidFill>
                <a:schemeClr val="bg1">
                  <a:lumMod val="75000"/>
                </a:schemeClr>
              </a:solidFill>
            </a:ln>
          </c:spPr>
        </c:majorGridlines>
        <c:numFmt formatCode="0" sourceLinked="1"/>
        <c:tickLblPos val="nextTo"/>
        <c:crossAx val="163116928"/>
        <c:crosses val="autoZero"/>
        <c:crossBetween val="between"/>
        <c:majorUnit val="10"/>
      </c:valAx>
    </c:plotArea>
    <c:legend>
      <c:legendPos val="r"/>
      <c:layout>
        <c:manualLayout>
          <c:xMode val="edge"/>
          <c:yMode val="edge"/>
          <c:x val="0.13207022298807317"/>
          <c:y val="0.94973211659590062"/>
          <c:w val="0.74098477386537165"/>
          <c:h val="4.9652936182302834E-2"/>
        </c:manualLayout>
      </c:layout>
    </c:legend>
    <c:plotVisOnly val="1"/>
  </c:chart>
  <c:spPr>
    <a:ln>
      <a:noFill/>
    </a:ln>
  </c:spPr>
  <c:externalData r:id="rId1"/>
  <c:userShapes r:id="rId2"/>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pl-PL"/>
  <c:chart>
    <c:autoTitleDeleted val="1"/>
    <c:plotArea>
      <c:layout>
        <c:manualLayout>
          <c:layoutTarget val="inner"/>
          <c:xMode val="edge"/>
          <c:yMode val="edge"/>
          <c:x val="7.1713131437567024E-2"/>
          <c:y val="7.8634054511771273E-2"/>
          <c:w val="0.90282863400810065"/>
          <c:h val="0.70029241426789246"/>
        </c:manualLayout>
      </c:layout>
      <c:barChart>
        <c:barDir val="col"/>
        <c:grouping val="clustered"/>
        <c:ser>
          <c:idx val="0"/>
          <c:order val="0"/>
          <c:tx>
            <c:strRef>
              <c:f>Arkusz1!$B$1</c:f>
              <c:strCache>
                <c:ptCount val="1"/>
                <c:pt idx="0">
                  <c:v>Kolumna1</c:v>
                </c:pt>
              </c:strCache>
            </c:strRef>
          </c:tx>
          <c:spPr>
            <a:solidFill>
              <a:schemeClr val="accent2">
                <a:lumMod val="75000"/>
              </a:schemeClr>
            </a:solidFill>
          </c:spPr>
          <c:dLbls>
            <c:dLbl>
              <c:idx val="0"/>
              <c:layout>
                <c:manualLayout>
                  <c:x val="-2.3148148148148147E-3"/>
                  <c:y val="0.37698412698413392"/>
                </c:manualLayout>
              </c:layout>
              <c:showVal val="1"/>
            </c:dLbl>
            <c:dLbl>
              <c:idx val="1"/>
              <c:layout>
                <c:manualLayout>
                  <c:x val="-2.3148148148148147E-3"/>
                  <c:y val="0.27777715285589299"/>
                </c:manualLayout>
              </c:layout>
              <c:showVal val="1"/>
            </c:dLbl>
            <c:dLbl>
              <c:idx val="2"/>
              <c:layout>
                <c:manualLayout>
                  <c:x val="-2.3140204894140579E-3"/>
                  <c:y val="0.15548770647887206"/>
                </c:manualLayout>
              </c:layout>
              <c:showVal val="1"/>
            </c:dLbl>
            <c:dLbl>
              <c:idx val="3"/>
              <c:layout>
                <c:manualLayout>
                  <c:x val="0"/>
                  <c:y val="0.32936507936508969"/>
                </c:manualLayout>
              </c:layout>
              <c:showVal val="1"/>
            </c:dLbl>
            <c:dLbl>
              <c:idx val="4"/>
              <c:layout>
                <c:manualLayout>
                  <c:x val="2.3148148148148147E-3"/>
                  <c:y val="0.23412698412698421"/>
                </c:manualLayout>
              </c:layout>
              <c:showVal val="1"/>
            </c:dLbl>
            <c:dLbl>
              <c:idx val="5"/>
              <c:layout>
                <c:manualLayout>
                  <c:x val="0"/>
                  <c:y val="0.18253968253968444"/>
                </c:manualLayout>
              </c:layout>
              <c:showVal val="1"/>
            </c:dLbl>
            <c:txPr>
              <a:bodyPr rot="-5400000" vert="horz"/>
              <a:lstStyle/>
              <a:p>
                <a:pPr>
                  <a:defRPr sz="1200" b="0">
                    <a:solidFill>
                      <a:schemeClr val="bg1"/>
                    </a:solidFill>
                  </a:defRPr>
                </a:pPr>
                <a:endParaRPr lang="pl-PL"/>
              </a:p>
            </c:txPr>
            <c:showVal val="1"/>
          </c:dLbls>
          <c:cat>
            <c:strRef>
              <c:f>Arkusz1!$A$2:$A$7</c:f>
              <c:strCache>
                <c:ptCount val="6"/>
                <c:pt idx="0">
                  <c:v>Komunikacja publiczna (w tym miejska)</c:v>
                </c:pt>
                <c:pt idx="1">
                  <c:v>Prywatny przewoźnik</c:v>
                </c:pt>
                <c:pt idx="2">
                  <c:v>Samochód osobowy -– jako kierowca</c:v>
                </c:pt>
                <c:pt idx="3">
                  <c:v>Samochód osobowy – jako pasażer</c:v>
                </c:pt>
                <c:pt idx="4">
                  <c:v>Pociąg</c:v>
                </c:pt>
                <c:pt idx="5">
                  <c:v>Inny</c:v>
                </c:pt>
              </c:strCache>
            </c:strRef>
          </c:cat>
          <c:val>
            <c:numRef>
              <c:f>Arkusz1!$B$2:$B$7</c:f>
              <c:numCache>
                <c:formatCode>0</c:formatCode>
                <c:ptCount val="6"/>
                <c:pt idx="0">
                  <c:v>169.12473067100638</c:v>
                </c:pt>
                <c:pt idx="1">
                  <c:v>101.35605455097915</c:v>
                </c:pt>
                <c:pt idx="2">
                  <c:v>53.848948566460194</c:v>
                </c:pt>
                <c:pt idx="3">
                  <c:v>130.47255965737537</c:v>
                </c:pt>
                <c:pt idx="4">
                  <c:v>87.406799554235576</c:v>
                </c:pt>
                <c:pt idx="5">
                  <c:v>63.589108249579994</c:v>
                </c:pt>
              </c:numCache>
            </c:numRef>
          </c:val>
        </c:ser>
        <c:gapWidth val="78"/>
        <c:axId val="164295040"/>
        <c:axId val="164296576"/>
      </c:barChart>
      <c:catAx>
        <c:axId val="164295040"/>
        <c:scaling>
          <c:orientation val="minMax"/>
        </c:scaling>
        <c:axPos val="b"/>
        <c:tickLblPos val="nextTo"/>
        <c:crossAx val="164296576"/>
        <c:crosses val="autoZero"/>
        <c:auto val="1"/>
        <c:lblAlgn val="ctr"/>
        <c:lblOffset val="100"/>
      </c:catAx>
      <c:valAx>
        <c:axId val="164296576"/>
        <c:scaling>
          <c:orientation val="minMax"/>
        </c:scaling>
        <c:axPos val="l"/>
        <c:majorGridlines>
          <c:spPr>
            <a:ln>
              <a:solidFill>
                <a:schemeClr val="bg1">
                  <a:lumMod val="85000"/>
                </a:schemeClr>
              </a:solidFill>
            </a:ln>
          </c:spPr>
        </c:majorGridlines>
        <c:numFmt formatCode="0" sourceLinked="1"/>
        <c:tickLblPos val="nextTo"/>
        <c:crossAx val="164295040"/>
        <c:crosses val="autoZero"/>
        <c:crossBetween val="between"/>
      </c:valAx>
      <c:spPr>
        <a:ln>
          <a:solidFill>
            <a:schemeClr val="bg1">
              <a:lumMod val="75000"/>
            </a:schemeClr>
          </a:solidFill>
        </a:ln>
      </c:spPr>
    </c:plotArea>
    <c:plotVisOnly val="1"/>
  </c:chart>
  <c:spPr>
    <a:ln>
      <a:noFill/>
    </a:ln>
  </c:spPr>
  <c:externalData r:id="rId1"/>
  <c:userShapes r:id="rId2"/>
</c:chartSpace>
</file>

<file path=word/drawings/drawing1.xml><?xml version="1.0" encoding="utf-8"?>
<c:userShapes xmlns:c="http://schemas.openxmlformats.org/drawingml/2006/chart">
  <cdr:relSizeAnchor xmlns:cdr="http://schemas.openxmlformats.org/drawingml/2006/chartDrawing">
    <cdr:from>
      <cdr:x>0.0085</cdr:x>
      <cdr:y>0.30326</cdr:y>
    </cdr:from>
    <cdr:to>
      <cdr:x>0.03702</cdr:x>
      <cdr:y>0.36132</cdr:y>
    </cdr:to>
    <cdr:sp macro="" textlink="">
      <cdr:nvSpPr>
        <cdr:cNvPr id="2" name="pole tekstowe 1"/>
        <cdr:cNvSpPr txBox="1"/>
      </cdr:nvSpPr>
      <cdr:spPr>
        <a:xfrm xmlns:a="http://schemas.openxmlformats.org/drawingml/2006/main">
          <a:off x="46646" y="970548"/>
          <a:ext cx="156472" cy="185815"/>
        </a:xfrm>
        <a:prstGeom xmlns:a="http://schemas.openxmlformats.org/drawingml/2006/main" prst="rect">
          <a:avLst/>
        </a:prstGeom>
      </cdr:spPr>
      <cdr:txBody>
        <a:bodyPr xmlns:a="http://schemas.openxmlformats.org/drawingml/2006/main" wrap="square" rtlCol="0" anchor="ctr" anchorCtr="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pl-PL" sz="1000"/>
            <a:t>%</a:t>
          </a:r>
        </a:p>
      </cdr:txBody>
    </cdr:sp>
  </cdr:relSizeAnchor>
</c:userShapes>
</file>

<file path=word/drawings/drawing2.xml><?xml version="1.0" encoding="utf-8"?>
<c:userShapes xmlns:c="http://schemas.openxmlformats.org/drawingml/2006/chart">
  <cdr:relSizeAnchor xmlns:cdr="http://schemas.openxmlformats.org/drawingml/2006/chartDrawing">
    <cdr:from>
      <cdr:x>0.50019</cdr:x>
      <cdr:y>0.96543</cdr:y>
    </cdr:from>
    <cdr:to>
      <cdr:x>0.62924</cdr:x>
      <cdr:y>1</cdr:y>
    </cdr:to>
    <cdr:sp macro="" textlink="">
      <cdr:nvSpPr>
        <cdr:cNvPr id="2" name="pole tekstowe 1"/>
        <cdr:cNvSpPr txBox="1"/>
      </cdr:nvSpPr>
      <cdr:spPr>
        <a:xfrm xmlns:a="http://schemas.openxmlformats.org/drawingml/2006/main">
          <a:off x="2880819" y="4128879"/>
          <a:ext cx="743257" cy="147846"/>
        </a:xfrm>
        <a:prstGeom xmlns:a="http://schemas.openxmlformats.org/drawingml/2006/main" prst="rect">
          <a:avLst/>
        </a:prstGeom>
      </cdr:spPr>
      <cdr:txBody>
        <a:bodyPr xmlns:a="http://schemas.openxmlformats.org/drawingml/2006/main" vertOverflow="clip" wrap="square" lIns="0" tIns="0" rIns="0" bIns="0" rtlCol="0" anchor="ctr" anchorCtr="1"/>
        <a:lstStyle xmlns:a="http://schemas.openxmlformats.org/drawingml/2006/main"/>
        <a:p xmlns:a="http://schemas.openxmlformats.org/drawingml/2006/main">
          <a:pPr algn="ctr"/>
          <a:r>
            <a:rPr lang="pl-PL" sz="1000" i="1"/>
            <a:t>osoby</a:t>
          </a:r>
        </a:p>
      </cdr:txBody>
    </cdr:sp>
  </cdr:relSizeAnchor>
</c:userShapes>
</file>

<file path=word/drawings/drawing3.xml><?xml version="1.0" encoding="utf-8"?>
<c:userShapes xmlns:c="http://schemas.openxmlformats.org/drawingml/2006/chart">
  <cdr:relSizeAnchor xmlns:cdr="http://schemas.openxmlformats.org/drawingml/2006/chartDrawing">
    <cdr:from>
      <cdr:x>0.84705</cdr:x>
      <cdr:y>0.9064</cdr:y>
    </cdr:from>
    <cdr:to>
      <cdr:x>0.91478</cdr:x>
      <cdr:y>0.96446</cdr:y>
    </cdr:to>
    <cdr:sp macro="" textlink="">
      <cdr:nvSpPr>
        <cdr:cNvPr id="2" name="pole tekstowe 1"/>
        <cdr:cNvSpPr txBox="1"/>
      </cdr:nvSpPr>
      <cdr:spPr>
        <a:xfrm xmlns:a="http://schemas.openxmlformats.org/drawingml/2006/main">
          <a:off x="4653600" y="4616194"/>
          <a:ext cx="372102" cy="29569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pl-PL" sz="1000" i="1"/>
            <a:t>km</a:t>
          </a:r>
        </a:p>
      </cdr:txBody>
    </cdr:sp>
  </cdr:relSizeAnchor>
</c:userShapes>
</file>

<file path=word/drawings/drawing4.xml><?xml version="1.0" encoding="utf-8"?>
<c:userShapes xmlns:c="http://schemas.openxmlformats.org/drawingml/2006/chart">
  <cdr:relSizeAnchor xmlns:cdr="http://schemas.openxmlformats.org/drawingml/2006/chartDrawing">
    <cdr:from>
      <cdr:x>0.52998</cdr:x>
      <cdr:y>0.91686</cdr:y>
    </cdr:from>
    <cdr:to>
      <cdr:x>0.64</cdr:x>
      <cdr:y>0.94693</cdr:y>
    </cdr:to>
    <cdr:sp macro="" textlink="">
      <cdr:nvSpPr>
        <cdr:cNvPr id="2" name="pole tekstowe 1"/>
        <cdr:cNvSpPr txBox="1"/>
      </cdr:nvSpPr>
      <cdr:spPr>
        <a:xfrm xmlns:a="http://schemas.openxmlformats.org/drawingml/2006/main">
          <a:off x="2922645" y="5770010"/>
          <a:ext cx="606678" cy="189234"/>
        </a:xfrm>
        <a:prstGeom xmlns:a="http://schemas.openxmlformats.org/drawingml/2006/main" prst="rect">
          <a:avLst/>
        </a:prstGeom>
      </cdr:spPr>
      <cdr:txBody>
        <a:bodyPr xmlns:a="http://schemas.openxmlformats.org/drawingml/2006/main" wrap="square" rtlCol="0" anchor="ctr" anchorCtr="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pl-PL" sz="1000" i="1"/>
            <a:t>osoby</a:t>
          </a:r>
        </a:p>
      </cdr:txBody>
    </cdr:sp>
  </cdr:relSizeAnchor>
</c:userShapes>
</file>

<file path=word/drawings/drawing5.xml><?xml version="1.0" encoding="utf-8"?>
<c:userShapes xmlns:c="http://schemas.openxmlformats.org/drawingml/2006/chart">
  <cdr:relSizeAnchor xmlns:cdr="http://schemas.openxmlformats.org/drawingml/2006/chartDrawing">
    <cdr:from>
      <cdr:x>0</cdr:x>
      <cdr:y>0</cdr:y>
    </cdr:from>
    <cdr:to>
      <cdr:x>0.11058</cdr:x>
      <cdr:y>0.05913</cdr:y>
    </cdr:to>
    <cdr:sp macro="" textlink="">
      <cdr:nvSpPr>
        <cdr:cNvPr id="2" name="pole tekstowe 1"/>
        <cdr:cNvSpPr txBox="1"/>
      </cdr:nvSpPr>
      <cdr:spPr>
        <a:xfrm xmlns:a="http://schemas.openxmlformats.org/drawingml/2006/main">
          <a:off x="-123825" y="-47625"/>
          <a:ext cx="606686" cy="187550"/>
        </a:xfrm>
        <a:prstGeom xmlns:a="http://schemas.openxmlformats.org/drawingml/2006/main" prst="rect">
          <a:avLst/>
        </a:prstGeom>
      </cdr:spPr>
      <cdr:txBody>
        <a:bodyPr xmlns:a="http://schemas.openxmlformats.org/drawingml/2006/main" wrap="square" rtlCol="0" anchor="ctr" anchorCtr="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l"/>
          <a:r>
            <a:rPr lang="pl-PL" sz="1000" i="1"/>
            <a:t>osoby</a:t>
          </a:r>
        </a:p>
      </cdr:txBody>
    </cdr:sp>
  </cdr:relSizeAnchor>
</c:userShape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BDE7A9-14C5-48CC-814D-C809BE20896E}">
  <ds:schemaRefs>
    <ds:schemaRef ds:uri="http://schemas.openxmlformats.org/officeDocument/2006/bibliography"/>
  </ds:schemaRefs>
</ds:datastoreItem>
</file>

<file path=customXml/itemProps2.xml><?xml version="1.0" encoding="utf-8"?>
<ds:datastoreItem xmlns:ds="http://schemas.openxmlformats.org/officeDocument/2006/customXml" ds:itemID="{7DF698E7-E94D-4EBE-8837-8DC082E595A7}">
  <ds:schemaRefs>
    <ds:schemaRef ds:uri="http://schemas.openxmlformats.org/officeDocument/2006/bibliography"/>
  </ds:schemaRefs>
</ds:datastoreItem>
</file>

<file path=customXml/itemProps3.xml><?xml version="1.0" encoding="utf-8"?>
<ds:datastoreItem xmlns:ds="http://schemas.openxmlformats.org/officeDocument/2006/customXml" ds:itemID="{6E8AD132-5589-4126-AC73-642BD0A4D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2556</TotalTime>
  <Pages>18</Pages>
  <Words>4167</Words>
  <Characters>25007</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Młodak Andrzej</dc:creator>
  <cp:lastModifiedBy>Brzezińska Beata</cp:lastModifiedBy>
  <cp:revision>324</cp:revision>
  <cp:lastPrinted>2014-07-25T10:30:00Z</cp:lastPrinted>
  <dcterms:created xsi:type="dcterms:W3CDTF">2014-05-16T10:36:00Z</dcterms:created>
  <dcterms:modified xsi:type="dcterms:W3CDTF">2014-07-25T10:30:00Z</dcterms:modified>
</cp:coreProperties>
</file>